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line="240" w:lineRule="auto"/>
        <w:rPr>
          <w:rFonts w:ascii="Trebuchet MS" w:hAnsi="Trebuchet MS"/>
        </w:rPr>
      </w:pPr>
      <w:proofErr w:type="spellStart"/>
      <w:r>
        <w:rPr>
          <w:rFonts w:ascii="Trebuchet MS" w:hAnsi="Trebuchet MS"/>
        </w:rPr>
        <w:t>Asociatia</w:t>
      </w:r>
      <w:proofErr w:type="spellEnd"/>
      <w:r>
        <w:rPr>
          <w:rFonts w:ascii="Trebuchet MS" w:hAnsi="Trebuchet MS"/>
        </w:rPr>
        <w:t xml:space="preserve"> GAL </w:t>
      </w:r>
      <w:proofErr w:type="spellStart"/>
      <w:r>
        <w:rPr>
          <w:rFonts w:ascii="Trebuchet MS" w:hAnsi="Trebuchet MS"/>
        </w:rPr>
        <w:t>Botosani</w:t>
      </w:r>
      <w:proofErr w:type="spellEnd"/>
      <w:r>
        <w:rPr>
          <w:rFonts w:ascii="Trebuchet MS" w:hAnsi="Trebuchet MS"/>
        </w:rPr>
        <w:t xml:space="preserve"> </w:t>
      </w:r>
      <w:proofErr w:type="spellStart"/>
      <w:r>
        <w:rPr>
          <w:rFonts w:ascii="Trebuchet MS" w:hAnsi="Trebuchet MS"/>
        </w:rPr>
        <w:t>pentru</w:t>
      </w:r>
      <w:proofErr w:type="spellEnd"/>
      <w:r>
        <w:rPr>
          <w:rFonts w:ascii="Trebuchet MS" w:hAnsi="Trebuchet MS"/>
        </w:rPr>
        <w:t xml:space="preserve"> </w:t>
      </w:r>
      <w:proofErr w:type="spellStart"/>
      <w:r>
        <w:rPr>
          <w:rFonts w:ascii="Trebuchet MS" w:hAnsi="Trebuchet MS"/>
        </w:rPr>
        <w:t>Viitor</w:t>
      </w:r>
      <w:proofErr w:type="spellEnd"/>
    </w:p>
    <w:p>
      <w:pPr>
        <w:spacing w:line="240" w:lineRule="auto"/>
        <w:rPr>
          <w:rFonts w:ascii="Trebuchet MS" w:hAnsi="Trebuchet MS"/>
        </w:rPr>
      </w:pPr>
      <w:r>
        <w:rPr>
          <w:rFonts w:ascii="Trebuchet MS" w:hAnsi="Trebuchet MS"/>
        </w:rPr>
        <w:t>Nr. 1130/ 1.09.2020</w:t>
      </w:r>
    </w:p>
    <w:p>
      <w:pPr>
        <w:spacing w:line="240" w:lineRule="auto"/>
        <w:rPr>
          <w:rFonts w:ascii="Trebuchet MS" w:hAnsi="Trebuchet MS"/>
        </w:rPr>
      </w:pPr>
    </w:p>
    <w:p>
      <w:pPr>
        <w:shd w:val="clear" w:color="auto" w:fill="D99594" w:themeFill="accent2" w:themeFillTint="99"/>
        <w:spacing w:line="240" w:lineRule="auto"/>
        <w:jc w:val="center"/>
        <w:rPr>
          <w:rFonts w:ascii="Trebuchet MS" w:hAnsi="Trebuchet MS"/>
        </w:rPr>
      </w:pPr>
      <w:r>
        <w:rPr>
          <w:rFonts w:ascii="Trebuchet MS" w:hAnsi="Trebuchet MS"/>
        </w:rPr>
        <w:t>PROGRAMUL OPERA</w:t>
      </w:r>
      <w:r>
        <w:rPr>
          <w:rFonts w:ascii="Trebuchet MS" w:hAnsi="Trebuchet MS"/>
          <w:lang w:val="ro-RO"/>
        </w:rPr>
        <w:t>Ț</w:t>
      </w:r>
      <w:r>
        <w:rPr>
          <w:rFonts w:ascii="Trebuchet MS" w:hAnsi="Trebuchet MS"/>
        </w:rPr>
        <w:t>IONAL REGIONAL 2014 – 2020</w:t>
      </w:r>
    </w:p>
    <w:p>
      <w:pPr>
        <w:shd w:val="clear" w:color="auto" w:fill="D99594" w:themeFill="accent2" w:themeFillTint="99"/>
        <w:spacing w:after="120" w:line="240" w:lineRule="auto"/>
        <w:jc w:val="center"/>
        <w:rPr>
          <w:rFonts w:ascii="Trebuchet MS" w:hAnsi="Trebuchet MS" w:cs="Calibri"/>
          <w:b/>
          <w:lang w:val="ro-RO"/>
        </w:rPr>
      </w:pPr>
    </w:p>
    <w:p>
      <w:pPr>
        <w:pStyle w:val="Heading8"/>
        <w:shd w:val="clear" w:color="auto" w:fill="D99594" w:themeFill="accent2" w:themeFillTint="99"/>
        <w:spacing w:line="240" w:lineRule="auto"/>
        <w:jc w:val="center"/>
        <w:rPr>
          <w:rFonts w:ascii="Trebuchet MS" w:hAnsi="Trebuchet MS"/>
          <w:b/>
          <w:bCs/>
          <w:sz w:val="26"/>
          <w:szCs w:val="26"/>
        </w:rPr>
      </w:pPr>
      <w:r>
        <w:rPr>
          <w:rFonts w:ascii="Trebuchet MS" w:hAnsi="Trebuchet MS"/>
          <w:b/>
          <w:bCs/>
          <w:sz w:val="26"/>
          <w:szCs w:val="26"/>
        </w:rPr>
        <w:t xml:space="preserve">GHIDUL SOLICITANTULUI - CONDIȚII SPECIFICE </w:t>
      </w:r>
    </w:p>
    <w:p>
      <w:pPr>
        <w:pStyle w:val="Heading8"/>
        <w:shd w:val="clear" w:color="auto" w:fill="D99594" w:themeFill="accent2" w:themeFillTint="99"/>
        <w:spacing w:line="240" w:lineRule="auto"/>
        <w:jc w:val="center"/>
        <w:rPr>
          <w:rFonts w:ascii="Trebuchet MS" w:hAnsi="Trebuchet MS"/>
          <w:b/>
          <w:bCs/>
          <w:sz w:val="26"/>
          <w:szCs w:val="26"/>
        </w:rPr>
      </w:pPr>
      <w:r>
        <w:rPr>
          <w:rFonts w:ascii="Trebuchet MS" w:hAnsi="Trebuchet MS"/>
          <w:b/>
          <w:bCs/>
          <w:sz w:val="26"/>
          <w:szCs w:val="26"/>
        </w:rPr>
        <w:t xml:space="preserve">APELURI FIȘE DE PROIECTE POR- LANSATE DE </w:t>
      </w:r>
      <w:bookmarkStart w:id="0" w:name="_Hlk21084676"/>
      <w:r>
        <w:rPr>
          <w:rFonts w:ascii="Trebuchet MS" w:hAnsi="Trebuchet MS"/>
          <w:b/>
          <w:bCs/>
          <w:sz w:val="26"/>
          <w:szCs w:val="26"/>
        </w:rPr>
        <w:t xml:space="preserve">ASOCIATIA GRUP DE ACTIUNE LOCALA </w:t>
      </w:r>
      <w:r>
        <w:rPr>
          <w:rFonts w:ascii="Trebuchet MS" w:hAnsi="Trebuchet MS"/>
          <w:b/>
          <w:bCs/>
          <w:i/>
          <w:sz w:val="26"/>
          <w:szCs w:val="26"/>
        </w:rPr>
        <w:t>BOTOSANI PENTRU VIITOR</w:t>
      </w:r>
    </w:p>
    <w:bookmarkEnd w:id="0"/>
    <w:p>
      <w:pPr>
        <w:shd w:val="clear" w:color="auto" w:fill="D99594" w:themeFill="accent2" w:themeFillTint="99"/>
        <w:spacing w:line="240" w:lineRule="auto"/>
        <w:jc w:val="center"/>
        <w:rPr>
          <w:rFonts w:ascii="Trebuchet MS" w:hAnsi="Trebuchet MS"/>
          <w:sz w:val="26"/>
          <w:szCs w:val="26"/>
        </w:rPr>
      </w:pPr>
      <w:proofErr w:type="spellStart"/>
      <w:r>
        <w:rPr>
          <w:rFonts w:ascii="Trebuchet MS" w:hAnsi="Trebuchet MS"/>
          <w:b/>
          <w:bCs/>
          <w:sz w:val="26"/>
          <w:szCs w:val="26"/>
        </w:rPr>
        <w:t>Încadrul</w:t>
      </w:r>
      <w:proofErr w:type="spellEnd"/>
      <w:r>
        <w:rPr>
          <w:rFonts w:ascii="Trebuchet MS" w:hAnsi="Trebuchet MS"/>
          <w:b/>
          <w:bCs/>
          <w:sz w:val="26"/>
          <w:szCs w:val="26"/>
        </w:rPr>
        <w:t xml:space="preserve"> SDL - Etapa a III-a a </w:t>
      </w:r>
      <w:proofErr w:type="spellStart"/>
      <w:r>
        <w:rPr>
          <w:rFonts w:ascii="Trebuchet MS" w:hAnsi="Trebuchet MS"/>
          <w:b/>
          <w:bCs/>
          <w:sz w:val="26"/>
          <w:szCs w:val="26"/>
        </w:rPr>
        <w:t>mecanismului</w:t>
      </w:r>
      <w:proofErr w:type="spellEnd"/>
      <w:r>
        <w:rPr>
          <w:rFonts w:ascii="Trebuchet MS" w:hAnsi="Trebuchet MS"/>
          <w:b/>
          <w:bCs/>
          <w:sz w:val="26"/>
          <w:szCs w:val="26"/>
        </w:rPr>
        <w:t xml:space="preserve"> DLRC</w:t>
      </w:r>
    </w:p>
    <w:p>
      <w:pPr>
        <w:shd w:val="clear" w:color="auto" w:fill="D99594" w:themeFill="accent2" w:themeFillTint="99"/>
        <w:spacing w:line="240" w:lineRule="auto"/>
        <w:jc w:val="center"/>
        <w:rPr>
          <w:rFonts w:ascii="Trebuchet MS" w:hAnsi="Trebuchet MS"/>
          <w:lang w:val="ro-RO"/>
        </w:rPr>
      </w:pPr>
      <w:r>
        <w:rPr>
          <w:rFonts w:ascii="Trebuchet MS" w:hAnsi="Trebuchet MS"/>
        </w:rPr>
        <w:t xml:space="preserve">AXA PRIORITARĂ 9 - </w:t>
      </w:r>
      <w:r>
        <w:rPr>
          <w:rFonts w:ascii="Trebuchet MS" w:hAnsi="Trebuchet MS"/>
          <w:lang w:val="ro-RO"/>
        </w:rPr>
        <w:t>SPRIJINIREA REGENERĂRII ECONOMICE ȘI SOCIALE A COMUNITĂȚILOR DEFAVORIZATE DIN MEDIUL URBAN</w:t>
      </w:r>
    </w:p>
    <w:p>
      <w:pPr>
        <w:spacing w:line="240" w:lineRule="auto"/>
        <w:rPr>
          <w:rFonts w:ascii="Trebuchet MS" w:hAnsi="Trebuchet MS"/>
          <w:bCs/>
          <w:lang w:val="ro-RO"/>
        </w:rPr>
      </w:pPr>
      <w:r>
        <w:rPr>
          <w:rFonts w:ascii="Trebuchet MS" w:hAnsi="Trebuchet MS"/>
          <w:bCs/>
          <w:lang w:val="ro-RO"/>
        </w:rPr>
        <w:t xml:space="preserve">Prioritatea de </w:t>
      </w:r>
      <w:proofErr w:type="spellStart"/>
      <w:r>
        <w:rPr>
          <w:rFonts w:ascii="Trebuchet MS" w:hAnsi="Trebuchet MS"/>
          <w:bCs/>
          <w:lang w:val="ro-RO"/>
        </w:rPr>
        <w:t>investitii</w:t>
      </w:r>
      <w:proofErr w:type="spellEnd"/>
      <w:r>
        <w:rPr>
          <w:rFonts w:ascii="Trebuchet MS" w:hAnsi="Trebuchet MS"/>
          <w:bCs/>
          <w:lang w:val="ro-RO"/>
        </w:rPr>
        <w:t xml:space="preserve"> 9.1 - Dezvoltare Locală sub Responsabilitatea Comunității (DLRC)</w:t>
      </w:r>
    </w:p>
    <w:p>
      <w:pPr>
        <w:framePr w:hSpace="180" w:wrap="around" w:vAnchor="text" w:hAnchor="margin" w:y="63"/>
        <w:spacing w:line="240" w:lineRule="auto"/>
        <w:jc w:val="center"/>
        <w:rPr>
          <w:rFonts w:ascii="Trebuchet MS" w:hAnsi="Trebuchet MS"/>
          <w:b/>
          <w:i/>
          <w:iCs/>
          <w:lang w:val="ro-RO"/>
        </w:rPr>
      </w:pPr>
      <w:r>
        <w:rPr>
          <w:rFonts w:ascii="Trebuchet MS" w:hAnsi="Trebuchet MS"/>
          <w:b/>
          <w:i/>
          <w:iCs/>
          <w:lang w:val="ro-RO"/>
        </w:rPr>
        <w:t xml:space="preserve">Acest ghid se adresează beneficiarilor eligibili   ce vor depune  spre evaluare și selecție fișe de proiect la GAL BOTOSANI PENTRU VIITOR, </w:t>
      </w:r>
    </w:p>
    <w:p>
      <w:pPr>
        <w:framePr w:hSpace="180" w:wrap="around" w:vAnchor="text" w:hAnchor="margin" w:y="63"/>
        <w:spacing w:line="240" w:lineRule="auto"/>
        <w:jc w:val="center"/>
        <w:rPr>
          <w:rFonts w:ascii="Trebuchet MS" w:hAnsi="Trebuchet MS"/>
          <w:b/>
          <w:i/>
          <w:iCs/>
          <w:lang w:val="ro-RO"/>
        </w:rPr>
      </w:pPr>
      <w:r>
        <w:rPr>
          <w:rFonts w:ascii="Trebuchet MS" w:hAnsi="Trebuchet MS"/>
          <w:b/>
          <w:i/>
          <w:iCs/>
          <w:lang w:val="ro-RO"/>
        </w:rPr>
        <w:t>IN CADRUL APELULUI DE FISE DE PROIECTE  CU NR:</w:t>
      </w:r>
    </w:p>
    <w:p>
      <w:pPr>
        <w:framePr w:hSpace="180" w:wrap="around" w:vAnchor="text" w:hAnchor="margin" w:y="63"/>
        <w:spacing w:line="240" w:lineRule="auto"/>
        <w:jc w:val="center"/>
        <w:rPr>
          <w:rFonts w:ascii="Trebuchet MS" w:hAnsi="Trebuchet MS"/>
          <w:b/>
          <w:i/>
          <w:iCs/>
          <w:lang w:val="ro-RO"/>
        </w:rPr>
      </w:pPr>
      <w:r>
        <w:rPr>
          <w:rFonts w:ascii="Trebuchet MS" w:hAnsi="Trebuchet MS"/>
          <w:b/>
          <w:i/>
          <w:iCs/>
          <w:lang w:val="ro-RO"/>
        </w:rPr>
        <w:t>POR/GAL BOTOSANI PENTRU VIITOR/2020/9/3/OS9.1</w:t>
      </w:r>
    </w:p>
    <w:p>
      <w:pPr>
        <w:spacing w:line="240" w:lineRule="auto"/>
        <w:jc w:val="center"/>
        <w:rPr>
          <w:rFonts w:ascii="Trebuchet MS" w:hAnsi="Trebuchet MS"/>
          <w:b/>
          <w:i/>
          <w:iCs/>
          <w:lang w:val="ro-RO"/>
        </w:rPr>
      </w:pPr>
      <w:proofErr w:type="spellStart"/>
      <w:r>
        <w:rPr>
          <w:rFonts w:ascii="Trebuchet MS" w:hAnsi="Trebuchet MS"/>
          <w:b/>
          <w:i/>
          <w:iCs/>
          <w:lang w:val="ro-RO"/>
        </w:rPr>
        <w:t>Urmand</w:t>
      </w:r>
      <w:proofErr w:type="spellEnd"/>
      <w:r>
        <w:rPr>
          <w:rFonts w:ascii="Trebuchet MS" w:hAnsi="Trebuchet MS"/>
          <w:b/>
          <w:i/>
          <w:iCs/>
          <w:lang w:val="ro-RO"/>
        </w:rPr>
        <w:t xml:space="preserve"> </w:t>
      </w:r>
      <w:proofErr w:type="spellStart"/>
      <w:r>
        <w:rPr>
          <w:rFonts w:ascii="Trebuchet MS" w:hAnsi="Trebuchet MS"/>
          <w:b/>
          <w:i/>
          <w:iCs/>
          <w:lang w:val="ro-RO"/>
        </w:rPr>
        <w:t>inscrierea</w:t>
      </w:r>
      <w:proofErr w:type="spellEnd"/>
      <w:r>
        <w:rPr>
          <w:rFonts w:ascii="Trebuchet MS" w:hAnsi="Trebuchet MS"/>
          <w:b/>
          <w:i/>
          <w:iCs/>
          <w:lang w:val="ro-RO"/>
        </w:rPr>
        <w:t xml:space="preserve"> proiectelor mature in MYSMIS în cadrul POR 2014-2020, Axa </w:t>
      </w:r>
    </w:p>
    <w:p>
      <w:pPr>
        <w:spacing w:line="240" w:lineRule="auto"/>
        <w:jc w:val="center"/>
        <w:rPr>
          <w:rFonts w:ascii="Trebuchet MS" w:hAnsi="Trebuchet MS"/>
          <w:b/>
          <w:i/>
          <w:iCs/>
          <w:lang w:val="ro-RO"/>
        </w:rPr>
      </w:pPr>
      <w:r>
        <w:rPr>
          <w:rFonts w:ascii="Trebuchet MS" w:hAnsi="Trebuchet MS"/>
          <w:b/>
          <w:i/>
          <w:iCs/>
          <w:lang w:val="ro-RO"/>
        </w:rPr>
        <w:t>prioritară 9, Prioritatea de investiții 9.1</w:t>
      </w:r>
    </w:p>
    <w:p>
      <w:pPr>
        <w:pStyle w:val="Default"/>
        <w:jc w:val="center"/>
        <w:rPr>
          <w:rFonts w:ascii="Trebuchet MS" w:hAnsi="Trebuchet MS" w:cs="Calibri"/>
        </w:rPr>
      </w:pPr>
      <w:r>
        <w:rPr>
          <w:rFonts w:ascii="Trebuchet MS" w:hAnsi="Trebuchet MS"/>
          <w:b/>
          <w:i/>
          <w:iCs/>
        </w:rPr>
        <w:t>adaptat conform Corigendum1-Aprilie 2020 la</w:t>
      </w:r>
    </w:p>
    <w:p>
      <w:pPr>
        <w:spacing w:line="240" w:lineRule="auto"/>
        <w:jc w:val="center"/>
        <w:rPr>
          <w:rFonts w:ascii="Trebuchet MS" w:hAnsi="Trebuchet MS"/>
          <w:b/>
          <w:i/>
          <w:iCs/>
          <w:lang w:val="ro-RO"/>
        </w:rPr>
      </w:pPr>
      <w:r>
        <w:rPr>
          <w:rFonts w:ascii="Trebuchet MS" w:eastAsiaTheme="minorHAnsi" w:hAnsi="Trebuchet MS" w:cs="Calibri"/>
          <w:b/>
          <w:bCs/>
          <w:i/>
          <w:iCs/>
          <w:color w:val="000000"/>
          <w:lang w:val="ro-RO"/>
        </w:rPr>
        <w:t xml:space="preserve">Ghidul Solicitantului - Condiții specifice de accesare a fondurilor în cadrul apelurilor de proiecte POR/2019/9/9.1/1/7REGIUNI, POR/2019/9/9.1/1/BI și POR/2019/9/9.1/1/Întreprinderi - Axa prioritară 9 - Sprijinirea regenerării economice și sociale a comunităților defavorizate din mediul urban, Prioritatea de </w:t>
      </w:r>
      <w:proofErr w:type="spellStart"/>
      <w:r>
        <w:rPr>
          <w:rFonts w:ascii="Trebuchet MS" w:eastAsiaTheme="minorHAnsi" w:hAnsi="Trebuchet MS" w:cs="Calibri"/>
          <w:b/>
          <w:bCs/>
          <w:i/>
          <w:iCs/>
          <w:color w:val="000000"/>
          <w:lang w:val="ro-RO"/>
        </w:rPr>
        <w:t>Investitii</w:t>
      </w:r>
      <w:proofErr w:type="spellEnd"/>
      <w:r>
        <w:rPr>
          <w:rFonts w:ascii="Trebuchet MS" w:eastAsiaTheme="minorHAnsi" w:hAnsi="Trebuchet MS" w:cs="Calibri"/>
          <w:b/>
          <w:bCs/>
          <w:i/>
          <w:iCs/>
          <w:color w:val="000000"/>
          <w:lang w:val="ro-RO"/>
        </w:rPr>
        <w:t xml:space="preserve"> 9.1 - Dezvoltare locală plasată sub responsabilitatea </w:t>
      </w:r>
      <w:proofErr w:type="spellStart"/>
      <w:r>
        <w:rPr>
          <w:rFonts w:ascii="Trebuchet MS" w:eastAsiaTheme="minorHAnsi" w:hAnsi="Trebuchet MS" w:cs="Calibri"/>
          <w:b/>
          <w:bCs/>
          <w:i/>
          <w:iCs/>
          <w:color w:val="000000"/>
          <w:lang w:val="ro-RO"/>
        </w:rPr>
        <w:t>comunităţii</w:t>
      </w:r>
      <w:proofErr w:type="spellEnd"/>
      <w:r>
        <w:rPr>
          <w:rFonts w:ascii="Trebuchet MS" w:eastAsiaTheme="minorHAnsi" w:hAnsi="Trebuchet MS" w:cs="Calibri"/>
          <w:b/>
          <w:bCs/>
          <w:i/>
          <w:iCs/>
          <w:color w:val="000000"/>
          <w:lang w:val="ro-RO"/>
        </w:rPr>
        <w:t xml:space="preserve"> (DLRC)</w:t>
      </w:r>
    </w:p>
    <w:p>
      <w:pPr>
        <w:spacing w:line="240" w:lineRule="auto"/>
        <w:jc w:val="center"/>
        <w:rPr>
          <w:rFonts w:ascii="Trebuchet MS" w:hAnsi="Trebuchet MS"/>
          <w:b/>
          <w:i/>
          <w:iCs/>
          <w:lang w:val="ro-RO"/>
        </w:rPr>
      </w:pPr>
    </w:p>
    <w:p>
      <w:pPr>
        <w:spacing w:line="240" w:lineRule="auto"/>
        <w:jc w:val="center"/>
        <w:rPr>
          <w:rFonts w:ascii="Trebuchet MS" w:hAnsi="Trebuchet MS"/>
          <w:b/>
          <w:i/>
          <w:iCs/>
          <w:lang w:val="ro-RO"/>
        </w:rPr>
      </w:pPr>
    </w:p>
    <w:p>
      <w:pPr>
        <w:spacing w:line="240" w:lineRule="auto"/>
        <w:jc w:val="center"/>
        <w:rPr>
          <w:rFonts w:ascii="Trebuchet MS" w:hAnsi="Trebuchet MS"/>
          <w:b/>
          <w:i/>
          <w:iCs/>
          <w:lang w:val="ro-RO"/>
        </w:rPr>
      </w:pPr>
    </w:p>
    <w:p>
      <w:pPr>
        <w:spacing w:line="240" w:lineRule="auto"/>
        <w:jc w:val="center"/>
        <w:rPr>
          <w:rFonts w:ascii="Trebuchet MS" w:hAnsi="Trebuchet MS"/>
          <w:b/>
          <w:i/>
          <w:iCs/>
          <w:lang w:val="ro-RO"/>
        </w:rPr>
      </w:pPr>
    </w:p>
    <w:p>
      <w:pPr>
        <w:rPr>
          <w:rFonts w:ascii="Trebuchet MS" w:hAnsi="Trebuchet MS"/>
          <w:b/>
          <w:i/>
          <w:iCs/>
          <w:lang w:val="ro-RO"/>
        </w:rPr>
      </w:pPr>
      <w:r>
        <w:rPr>
          <w:rFonts w:ascii="Trebuchet MS" w:hAnsi="Trebuchet MS"/>
          <w:b/>
          <w:i/>
          <w:iCs/>
          <w:lang w:val="ro-RO"/>
        </w:rPr>
        <w:br w:type="page"/>
      </w:r>
    </w:p>
    <w:p>
      <w:pPr>
        <w:pStyle w:val="TOCHeading"/>
        <w:spacing w:before="0" w:after="120" w:line="240" w:lineRule="auto"/>
        <w:rPr>
          <w:rFonts w:ascii="Trebuchet MS" w:hAnsi="Trebuchet MS" w:cs="Calibri"/>
          <w:color w:val="auto"/>
          <w:sz w:val="22"/>
          <w:szCs w:val="22"/>
          <w:lang w:val="ro-RO"/>
        </w:rPr>
      </w:pPr>
    </w:p>
    <w:sdt>
      <w:sdtPr>
        <w:rPr>
          <w:rFonts w:ascii="Trebuchet MS" w:eastAsia="Calibri" w:hAnsi="Trebuchet MS"/>
          <w:b w:val="0"/>
          <w:bCs w:val="0"/>
          <w:color w:val="auto"/>
          <w:sz w:val="22"/>
          <w:szCs w:val="22"/>
          <w:lang w:val="ro-RO"/>
        </w:rPr>
        <w:id w:val="1956825396"/>
        <w:docPartObj>
          <w:docPartGallery w:val="Table of Contents"/>
          <w:docPartUnique/>
        </w:docPartObj>
      </w:sdtPr>
      <w:sdtEndPr>
        <w:rPr>
          <w:lang w:val="en-US"/>
        </w:rPr>
      </w:sdtEndPr>
      <w:sdtContent>
        <w:p>
          <w:pPr>
            <w:pStyle w:val="TOCHeading"/>
            <w:spacing w:before="0" w:line="240" w:lineRule="auto"/>
            <w:rPr>
              <w:rFonts w:ascii="Trebuchet MS" w:hAnsi="Trebuchet MS"/>
              <w:color w:val="auto"/>
            </w:rPr>
          </w:pPr>
          <w:r>
            <w:rPr>
              <w:rFonts w:ascii="Trebuchet MS" w:hAnsi="Trebuchet MS"/>
              <w:color w:val="auto"/>
              <w:lang w:val="ro-RO"/>
            </w:rPr>
            <w:t>Cuprins</w:t>
          </w:r>
        </w:p>
        <w:p>
          <w:pPr>
            <w:pStyle w:val="TOC1"/>
            <w:rPr>
              <w:rFonts w:asciiTheme="minorHAnsi" w:eastAsiaTheme="minorEastAsia" w:hAnsiTheme="minorHAnsi" w:cstheme="minorBidi"/>
              <w:b w:val="0"/>
              <w:lang w:eastAsia="ro-RO"/>
            </w:rPr>
          </w:pPr>
          <w:r>
            <w:fldChar w:fldCharType="begin"/>
          </w:r>
          <w:r>
            <w:instrText xml:space="preserve"> TOC \o "1-3" \h \z \u </w:instrText>
          </w:r>
          <w:r>
            <w:fldChar w:fldCharType="separate"/>
          </w:r>
          <w:hyperlink w:anchor="_Toc41298474" w:history="1">
            <w:r>
              <w:rPr>
                <w:rStyle w:val="Hyperlink"/>
                <w:rFonts w:cs="Arial"/>
              </w:rPr>
              <w:t xml:space="preserve">CAPITOLUL 1 </w:t>
            </w:r>
            <w:r>
              <w:rPr>
                <w:rStyle w:val="Hyperlink"/>
                <w:rFonts w:cs="Calibri"/>
              </w:rPr>
              <w:t>Abrevieri</w:t>
            </w:r>
            <w:r>
              <w:rPr>
                <w:webHidden/>
              </w:rPr>
              <w:tab/>
            </w:r>
            <w:r>
              <w:rPr>
                <w:webHidden/>
              </w:rPr>
              <w:fldChar w:fldCharType="begin"/>
            </w:r>
            <w:r>
              <w:rPr>
                <w:webHidden/>
              </w:rPr>
              <w:instrText xml:space="preserve"> PAGEREF _Toc41298474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lang w:eastAsia="ro-RO"/>
            </w:rPr>
          </w:pPr>
          <w:hyperlink w:anchor="_Toc41298475" w:history="1">
            <w:r>
              <w:rPr>
                <w:rStyle w:val="Hyperlink"/>
                <w:rFonts w:cs="Arial"/>
              </w:rPr>
              <w:t xml:space="preserve">CAPITOLUL 2 </w:t>
            </w:r>
            <w:r>
              <w:rPr>
                <w:rStyle w:val="Hyperlink"/>
                <w:rFonts w:cs="Calibri"/>
              </w:rPr>
              <w:t>Informații generale</w:t>
            </w:r>
            <w:r>
              <w:rPr>
                <w:webHidden/>
              </w:rPr>
              <w:tab/>
            </w:r>
            <w:r>
              <w:rPr>
                <w:webHidden/>
              </w:rPr>
              <w:fldChar w:fldCharType="begin"/>
            </w:r>
            <w:r>
              <w:rPr>
                <w:webHidden/>
              </w:rPr>
              <w:instrText xml:space="preserve"> PAGEREF _Toc41298475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noProof/>
              <w:lang w:val="ro-RO" w:eastAsia="ro-RO"/>
            </w:rPr>
          </w:pPr>
          <w:hyperlink w:anchor="_Toc41298476" w:history="1">
            <w:r>
              <w:rPr>
                <w:rStyle w:val="Hyperlink"/>
                <w:rFonts w:ascii="Trebuchet MS" w:hAnsi="Trebuchet MS"/>
                <w:i/>
                <w:noProof/>
              </w:rPr>
              <w:t>Subcapitolul 2.1 Introducere</w:t>
            </w:r>
            <w:r>
              <w:rPr>
                <w:noProof/>
                <w:webHidden/>
              </w:rPr>
              <w:tab/>
            </w:r>
            <w:r>
              <w:rPr>
                <w:noProof/>
                <w:webHidden/>
              </w:rPr>
              <w:fldChar w:fldCharType="begin"/>
            </w:r>
            <w:r>
              <w:rPr>
                <w:noProof/>
                <w:webHidden/>
              </w:rPr>
              <w:instrText xml:space="preserve"> PAGEREF _Toc41298476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477" w:history="1">
            <w:r>
              <w:rPr>
                <w:rStyle w:val="Hyperlink"/>
                <w:rFonts w:ascii="Trebuchet MS" w:hAnsi="Trebuchet MS"/>
                <w:i/>
                <w:noProof/>
              </w:rPr>
              <w:t>Subcapitolul 2.2 Descrierea Strategiei de Dezvoltare Locală a GAL Botosani pentru Viitor</w:t>
            </w:r>
            <w:r>
              <w:rPr>
                <w:noProof/>
                <w:webHidden/>
              </w:rPr>
              <w:tab/>
            </w:r>
            <w:r>
              <w:rPr>
                <w:noProof/>
                <w:webHidden/>
              </w:rPr>
              <w:fldChar w:fldCharType="begin"/>
            </w:r>
            <w:r>
              <w:rPr>
                <w:noProof/>
                <w:webHidden/>
              </w:rPr>
              <w:instrText xml:space="preserve"> PAGEREF _Toc41298477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478" w:history="1">
            <w:r>
              <w:rPr>
                <w:rStyle w:val="Hyperlink"/>
                <w:rFonts w:ascii="Trebuchet MS" w:hAnsi="Trebuchet MS"/>
                <w:i/>
                <w:noProof/>
              </w:rPr>
              <w:t>Subcapitolul 2.3 Principalele reglementări europene și naționale precum și alte documente programatice</w:t>
            </w:r>
            <w:r>
              <w:rPr>
                <w:noProof/>
                <w:webHidden/>
              </w:rPr>
              <w:tab/>
            </w:r>
            <w:r>
              <w:rPr>
                <w:noProof/>
                <w:webHidden/>
              </w:rPr>
              <w:fldChar w:fldCharType="begin"/>
            </w:r>
            <w:r>
              <w:rPr>
                <w:noProof/>
                <w:webHidden/>
              </w:rPr>
              <w:instrText xml:space="preserve"> PAGEREF _Toc41298478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b w:val="0"/>
              <w:lang w:eastAsia="ro-RO"/>
            </w:rPr>
          </w:pPr>
          <w:hyperlink w:anchor="_Toc41298479" w:history="1">
            <w:r>
              <w:rPr>
                <w:rStyle w:val="Hyperlink"/>
                <w:rFonts w:cs="Arial"/>
              </w:rPr>
              <w:t xml:space="preserve">CAPITOLUL 3 </w:t>
            </w:r>
            <w:r>
              <w:rPr>
                <w:rStyle w:val="Hyperlink"/>
                <w:rFonts w:cs="Calibri"/>
              </w:rPr>
              <w:t>Condiții specifi</w:t>
            </w:r>
            <w:r>
              <w:rPr>
                <w:rStyle w:val="Hyperlink"/>
                <w:rFonts w:cs="Calibri"/>
              </w:rPr>
              <w:t>c</w:t>
            </w:r>
            <w:r>
              <w:rPr>
                <w:rStyle w:val="Hyperlink"/>
                <w:rFonts w:cs="Calibri"/>
              </w:rPr>
              <w:t>e pentru apelul de fișe de proiecte POR/GAL BOTOSANI PENTRU VIITOR/2020/9/3/OS9.1</w:t>
            </w:r>
            <w:r>
              <w:rPr>
                <w:webHidden/>
              </w:rPr>
              <w:tab/>
            </w:r>
            <w:r>
              <w:rPr>
                <w:webHidden/>
              </w:rPr>
              <w:fldChar w:fldCharType="begin"/>
            </w:r>
            <w:r>
              <w:rPr>
                <w:webHidden/>
              </w:rPr>
              <w:instrText xml:space="preserve"> PAGEREF _Toc41298479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noProof/>
              <w:lang w:val="ro-RO" w:eastAsia="ro-RO"/>
            </w:rPr>
          </w:pPr>
          <w:hyperlink w:anchor="_Toc41298480" w:history="1">
            <w:r>
              <w:rPr>
                <w:rStyle w:val="Hyperlink"/>
                <w:rFonts w:ascii="Trebuchet MS" w:hAnsi="Trebuchet MS"/>
                <w:i/>
                <w:noProof/>
              </w:rPr>
              <w:t>Subcapitolul 3.1 Axa prioritara, aria de implementare, indicatori</w:t>
            </w:r>
            <w:r>
              <w:rPr>
                <w:noProof/>
                <w:webHidden/>
              </w:rPr>
              <w:tab/>
            </w:r>
            <w:r>
              <w:rPr>
                <w:noProof/>
                <w:webHidden/>
              </w:rPr>
              <w:fldChar w:fldCharType="begin"/>
            </w:r>
            <w:r>
              <w:rPr>
                <w:noProof/>
                <w:webHidden/>
              </w:rPr>
              <w:instrText xml:space="preserve"> PAGEREF _Toc41298480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81" w:history="1">
            <w:r>
              <w:rPr>
                <w:rStyle w:val="Hyperlink"/>
                <w:rFonts w:ascii="Trebuchet MS" w:hAnsi="Trebuchet MS"/>
                <w:i/>
                <w:noProof/>
              </w:rPr>
              <w:t>Sec</w:t>
            </w:r>
            <w:r>
              <w:rPr>
                <w:rStyle w:val="Hyperlink"/>
                <w:rFonts w:ascii="Trebuchet MS" w:hAnsi="Trebuchet MS" w:cs="Calibri"/>
                <w:i/>
                <w:noProof/>
                <w:lang w:val="ro-RO"/>
              </w:rPr>
              <w:t>ț</w:t>
            </w:r>
            <w:r>
              <w:rPr>
                <w:rStyle w:val="Hyperlink"/>
                <w:rFonts w:ascii="Trebuchet MS" w:hAnsi="Trebuchet MS"/>
                <w:i/>
                <w:noProof/>
              </w:rPr>
              <w:t xml:space="preserve">iunea 3.1.1 Axa </w:t>
            </w:r>
            <w:r>
              <w:rPr>
                <w:rStyle w:val="Hyperlink"/>
                <w:rFonts w:ascii="Trebuchet MS" w:hAnsi="Trebuchet MS" w:cs="Calibri"/>
                <w:i/>
                <w:noProof/>
                <w:lang w:val="ro-RO"/>
              </w:rPr>
              <w:t>prioritară, obiectivele specifice POR/SDL, rezultat așteptat</w:t>
            </w:r>
            <w:r>
              <w:rPr>
                <w:noProof/>
                <w:webHidden/>
              </w:rPr>
              <w:tab/>
            </w:r>
            <w:r>
              <w:rPr>
                <w:noProof/>
                <w:webHidden/>
              </w:rPr>
              <w:fldChar w:fldCharType="begin"/>
            </w:r>
            <w:r>
              <w:rPr>
                <w:noProof/>
                <w:webHidden/>
              </w:rPr>
              <w:instrText xml:space="preserve"> PAGEREF _Toc41298481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82" w:history="1">
            <w:r>
              <w:rPr>
                <w:rStyle w:val="Hyperlink"/>
                <w:rFonts w:ascii="Trebuchet MS" w:hAnsi="Trebuchet MS"/>
                <w:i/>
                <w:noProof/>
              </w:rPr>
              <w:t>Secțiunea 3.1.2 Aria de implementare a intervențiilor lansate</w:t>
            </w:r>
            <w:r>
              <w:rPr>
                <w:noProof/>
                <w:webHidden/>
              </w:rPr>
              <w:tab/>
            </w:r>
            <w:r>
              <w:rPr>
                <w:noProof/>
                <w:webHidden/>
              </w:rPr>
              <w:fldChar w:fldCharType="begin"/>
            </w:r>
            <w:r>
              <w:rPr>
                <w:noProof/>
                <w:webHidden/>
              </w:rPr>
              <w:instrText xml:space="preserve"> PAGEREF _Toc41298482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83" w:history="1">
            <w:r>
              <w:rPr>
                <w:rStyle w:val="Hyperlink"/>
                <w:rFonts w:ascii="Trebuchet MS" w:hAnsi="Trebuchet MS"/>
                <w:i/>
                <w:noProof/>
              </w:rPr>
              <w:t>Secțiunea 3.1.3 Indicatori de monitorizare</w:t>
            </w:r>
            <w:r>
              <w:rPr>
                <w:noProof/>
                <w:webHidden/>
              </w:rPr>
              <w:tab/>
            </w:r>
            <w:r>
              <w:rPr>
                <w:noProof/>
                <w:webHidden/>
              </w:rPr>
              <w:fldChar w:fldCharType="begin"/>
            </w:r>
            <w:r>
              <w:rPr>
                <w:noProof/>
                <w:webHidden/>
              </w:rPr>
              <w:instrText xml:space="preserve"> PAGEREF _Toc41298483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b w:val="0"/>
              <w:lang w:eastAsia="ro-RO"/>
            </w:rPr>
          </w:pPr>
          <w:hyperlink w:anchor="_Toc41298484" w:history="1">
            <w:r>
              <w:rPr>
                <w:rStyle w:val="Hyperlink"/>
                <w:spacing w:val="-1"/>
              </w:rPr>
              <w:t xml:space="preserve">Indicatori </w:t>
            </w:r>
            <w:r>
              <w:rPr>
                <w:rStyle w:val="Hyperlink"/>
              </w:rPr>
              <w:t xml:space="preserve">de </w:t>
            </w:r>
            <w:r>
              <w:rPr>
                <w:rStyle w:val="Hyperlink"/>
                <w:spacing w:val="-1"/>
              </w:rPr>
              <w:t xml:space="preserve">rezultat </w:t>
            </w:r>
            <w:r>
              <w:rPr>
                <w:rStyle w:val="Hyperlink"/>
              </w:rPr>
              <w:t>(</w:t>
            </w:r>
            <w:r>
              <w:rPr>
                <w:rStyle w:val="Hyperlink"/>
                <w:i/>
              </w:rPr>
              <w:t>outcome</w:t>
            </w:r>
            <w:r>
              <w:rPr>
                <w:rStyle w:val="Hyperlink"/>
              </w:rPr>
              <w:t xml:space="preserve">) </w:t>
            </w:r>
            <w:r>
              <w:rPr>
                <w:rStyle w:val="Hyperlink"/>
                <w:spacing w:val="-1"/>
              </w:rPr>
              <w:t xml:space="preserve">proprii </w:t>
            </w:r>
            <w:r>
              <w:rPr>
                <w:rStyle w:val="Hyperlink"/>
                <w:spacing w:val="-2"/>
              </w:rPr>
              <w:t>SDL</w:t>
            </w:r>
            <w:r>
              <w:rPr>
                <w:webHidden/>
              </w:rPr>
              <w:tab/>
            </w:r>
            <w:r>
              <w:rPr>
                <w:webHidden/>
              </w:rPr>
              <w:fldChar w:fldCharType="begin"/>
            </w:r>
            <w:r>
              <w:rPr>
                <w:webHidden/>
              </w:rPr>
              <w:instrText xml:space="preserve"> PAGEREF _Toc41298484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b w:val="0"/>
              <w:lang w:eastAsia="ro-RO"/>
            </w:rPr>
          </w:pPr>
          <w:hyperlink w:anchor="_Toc41298485" w:history="1">
            <w:r>
              <w:rPr>
                <w:rStyle w:val="Hyperlink"/>
                <w:spacing w:val="-1"/>
              </w:rPr>
              <w:t>Creșterea capitalului uman al comunității</w:t>
            </w:r>
            <w:r>
              <w:rPr>
                <w:webHidden/>
              </w:rPr>
              <w:tab/>
            </w:r>
            <w:r>
              <w:rPr>
                <w:webHidden/>
              </w:rPr>
              <w:fldChar w:fldCharType="begin"/>
            </w:r>
            <w:r>
              <w:rPr>
                <w:webHidden/>
              </w:rPr>
              <w:instrText xml:space="preserve"> PAGEREF _Toc41298485 \h </w:instrText>
            </w:r>
            <w:r>
              <w:rPr>
                <w:webHidden/>
              </w:rPr>
            </w:r>
            <w:r>
              <w:rPr>
                <w:webHidden/>
              </w:rPr>
              <w:fldChar w:fldCharType="separate"/>
            </w:r>
            <w:r>
              <w:rPr>
                <w:webHidden/>
              </w:rPr>
              <w:t>19</w:t>
            </w:r>
            <w:r>
              <w:rPr>
                <w:webHidden/>
              </w:rPr>
              <w:fldChar w:fldCharType="end"/>
            </w:r>
          </w:hyperlink>
        </w:p>
        <w:p>
          <w:pPr>
            <w:pStyle w:val="TOC2"/>
            <w:rPr>
              <w:rFonts w:asciiTheme="minorHAnsi" w:eastAsiaTheme="minorEastAsia" w:hAnsiTheme="minorHAnsi" w:cstheme="minorBidi"/>
              <w:noProof/>
              <w:lang w:val="ro-RO" w:eastAsia="ro-RO"/>
            </w:rPr>
          </w:pPr>
          <w:hyperlink w:anchor="_Toc41298486" w:history="1">
            <w:r>
              <w:rPr>
                <w:rStyle w:val="Hyperlink"/>
                <w:rFonts w:ascii="Trebuchet MS" w:hAnsi="Trebuchet MS"/>
                <w:i/>
                <w:noProof/>
              </w:rPr>
              <w:t>Subcapitolul 3.2 Informatii despre apelurile de fise de proiect</w:t>
            </w:r>
            <w:r>
              <w:rPr>
                <w:noProof/>
                <w:webHidden/>
              </w:rPr>
              <w:tab/>
            </w:r>
            <w:r>
              <w:rPr>
                <w:noProof/>
                <w:webHidden/>
              </w:rPr>
              <w:fldChar w:fldCharType="begin"/>
            </w:r>
            <w:r>
              <w:rPr>
                <w:noProof/>
                <w:webHidden/>
              </w:rPr>
              <w:instrText xml:space="preserve"> PAGEREF _Toc41298486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87" w:history="1">
            <w:r>
              <w:rPr>
                <w:rStyle w:val="Hyperlink"/>
                <w:rFonts w:ascii="Trebuchet MS" w:hAnsi="Trebuchet MS"/>
                <w:i/>
                <w:noProof/>
              </w:rPr>
              <w:t>Secțiunea 3.2.1 Ce tip de apeluri de fise de proiect se lanseaza</w:t>
            </w:r>
            <w:r>
              <w:rPr>
                <w:noProof/>
                <w:webHidden/>
              </w:rPr>
              <w:tab/>
            </w:r>
            <w:r>
              <w:rPr>
                <w:noProof/>
                <w:webHidden/>
              </w:rPr>
              <w:fldChar w:fldCharType="begin"/>
            </w:r>
            <w:r>
              <w:rPr>
                <w:noProof/>
                <w:webHidden/>
              </w:rPr>
              <w:instrText xml:space="preserve"> PAGEREF _Toc41298487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88" w:history="1">
            <w:r>
              <w:rPr>
                <w:rStyle w:val="Hyperlink"/>
                <w:rFonts w:ascii="Trebuchet MS" w:hAnsi="Trebuchet MS"/>
                <w:i/>
                <w:noProof/>
              </w:rPr>
              <w:t>Secțiunea 3.2.2 Care este perioada în care pot fi depuse fișele de proiecte</w:t>
            </w:r>
            <w:r>
              <w:rPr>
                <w:noProof/>
                <w:webHidden/>
              </w:rPr>
              <w:tab/>
            </w:r>
            <w:r>
              <w:rPr>
                <w:noProof/>
                <w:webHidden/>
              </w:rPr>
              <w:fldChar w:fldCharType="begin"/>
            </w:r>
            <w:r>
              <w:rPr>
                <w:noProof/>
                <w:webHidden/>
              </w:rPr>
              <w:instrText xml:space="preserve"> PAGEREF _Toc41298488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89" w:history="1">
            <w:r>
              <w:rPr>
                <w:rStyle w:val="Hyperlink"/>
                <w:rFonts w:ascii="Trebuchet MS" w:hAnsi="Trebuchet MS"/>
                <w:i/>
                <w:noProof/>
              </w:rPr>
              <w:t>Secțiunea 3.2.3 Unde se depun fișele de proiecte si care este modalitatea de depunere</w:t>
            </w:r>
            <w:r>
              <w:rPr>
                <w:noProof/>
                <w:webHidden/>
              </w:rPr>
              <w:tab/>
            </w:r>
            <w:r>
              <w:rPr>
                <w:noProof/>
                <w:webHidden/>
              </w:rPr>
              <w:fldChar w:fldCharType="begin"/>
            </w:r>
            <w:r>
              <w:rPr>
                <w:noProof/>
                <w:webHidden/>
              </w:rPr>
              <w:instrText xml:space="preserve"> PAGEREF _Toc41298489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0" w:history="1">
            <w:r>
              <w:rPr>
                <w:rStyle w:val="Hyperlink"/>
                <w:rFonts w:ascii="Trebuchet MS" w:hAnsi="Trebuchet MS"/>
                <w:i/>
                <w:noProof/>
              </w:rPr>
              <w:t>Secțiunea 3.2.4 Tipuri de acțiuni sprijinite</w:t>
            </w:r>
            <w:r>
              <w:rPr>
                <w:noProof/>
                <w:webHidden/>
              </w:rPr>
              <w:tab/>
            </w:r>
            <w:r>
              <w:rPr>
                <w:noProof/>
                <w:webHidden/>
              </w:rPr>
              <w:fldChar w:fldCharType="begin"/>
            </w:r>
            <w:r>
              <w:rPr>
                <w:noProof/>
                <w:webHidden/>
              </w:rPr>
              <w:instrText xml:space="preserve"> PAGEREF _Toc41298490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1" w:history="1">
            <w:r>
              <w:rPr>
                <w:rStyle w:val="Hyperlink"/>
                <w:rFonts w:ascii="Trebuchet MS" w:hAnsi="Trebuchet MS"/>
                <w:i/>
                <w:noProof/>
              </w:rPr>
              <w:t>Secțiunea 3.2.5 Respectarea principiilor privind dezvoltarea durabilă, egalitatea de gen și nediscriminarea</w:t>
            </w:r>
            <w:r>
              <w:rPr>
                <w:noProof/>
                <w:webHidden/>
              </w:rPr>
              <w:tab/>
            </w:r>
            <w:r>
              <w:rPr>
                <w:noProof/>
                <w:webHidden/>
              </w:rPr>
              <w:fldChar w:fldCharType="begin"/>
            </w:r>
            <w:r>
              <w:rPr>
                <w:noProof/>
                <w:webHidden/>
              </w:rPr>
              <w:instrText xml:space="preserve"> PAGEREF _Toc41298491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2" w:history="1">
            <w:r>
              <w:rPr>
                <w:rStyle w:val="Hyperlink"/>
                <w:rFonts w:ascii="Trebuchet MS" w:hAnsi="Trebuchet MS"/>
                <w:i/>
                <w:noProof/>
              </w:rPr>
              <w:t>Secțiunea 3.2.6 Durata de implementare a actvităților fișei de proiect</w:t>
            </w:r>
            <w:r>
              <w:rPr>
                <w:noProof/>
                <w:webHidden/>
              </w:rPr>
              <w:tab/>
            </w:r>
            <w:r>
              <w:rPr>
                <w:noProof/>
                <w:webHidden/>
              </w:rPr>
              <w:fldChar w:fldCharType="begin"/>
            </w:r>
            <w:r>
              <w:rPr>
                <w:noProof/>
                <w:webHidden/>
              </w:rPr>
              <w:instrText xml:space="preserve"> PAGEREF _Toc41298492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3" w:history="1">
            <w:r>
              <w:rPr>
                <w:rStyle w:val="Hyperlink"/>
                <w:rFonts w:ascii="Trebuchet MS" w:hAnsi="Trebuchet MS"/>
                <w:i/>
                <w:noProof/>
              </w:rPr>
              <w:t>Secțiunea 3.2.7 Care este valoarea minimă eligibilă a unui proiect și maximă eligibilă a unui pachet de proiecte?</w:t>
            </w:r>
            <w:r>
              <w:rPr>
                <w:noProof/>
                <w:webHidden/>
              </w:rPr>
              <w:tab/>
            </w:r>
            <w:r>
              <w:rPr>
                <w:noProof/>
                <w:webHidden/>
              </w:rPr>
              <w:fldChar w:fldCharType="begin"/>
            </w:r>
            <w:r>
              <w:rPr>
                <w:noProof/>
                <w:webHidden/>
              </w:rPr>
              <w:instrText xml:space="preserve"> PAGEREF _Toc41298493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4" w:history="1">
            <w:r>
              <w:rPr>
                <w:rStyle w:val="Hyperlink"/>
                <w:rFonts w:ascii="Trebuchet MS" w:hAnsi="Trebuchet MS"/>
                <w:i/>
                <w:noProof/>
              </w:rPr>
              <w:t>Secțiunea 3.2.8 Rata de cofinanțare acordată în cadrul apelurilor de proiecte</w:t>
            </w:r>
            <w:r>
              <w:rPr>
                <w:noProof/>
                <w:webHidden/>
              </w:rPr>
              <w:tab/>
            </w:r>
            <w:r>
              <w:rPr>
                <w:noProof/>
                <w:webHidden/>
              </w:rPr>
              <w:fldChar w:fldCharType="begin"/>
            </w:r>
            <w:r>
              <w:rPr>
                <w:noProof/>
                <w:webHidden/>
              </w:rPr>
              <w:instrText xml:space="preserve"> PAGEREF _Toc41298494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495" w:history="1">
            <w:r>
              <w:rPr>
                <w:rStyle w:val="Hyperlink"/>
                <w:rFonts w:ascii="Trebuchet MS" w:hAnsi="Trebuchet MS"/>
                <w:i/>
                <w:noProof/>
              </w:rPr>
              <w:t>Subcapitolul 3.3:Reguli pentru acordarea finanțării</w:t>
            </w:r>
            <w:r>
              <w:rPr>
                <w:noProof/>
                <w:webHidden/>
              </w:rPr>
              <w:tab/>
            </w:r>
            <w:r>
              <w:rPr>
                <w:noProof/>
                <w:webHidden/>
              </w:rPr>
              <w:fldChar w:fldCharType="begin"/>
            </w:r>
            <w:r>
              <w:rPr>
                <w:noProof/>
                <w:webHidden/>
              </w:rPr>
              <w:instrText xml:space="preserve"> PAGEREF _Toc41298495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6" w:history="1">
            <w:r>
              <w:rPr>
                <w:rStyle w:val="Hyperlink"/>
                <w:rFonts w:ascii="Trebuchet MS" w:hAnsi="Trebuchet MS"/>
                <w:i/>
                <w:noProof/>
              </w:rPr>
              <w:t>Secțiunea 3.3.1 Eligibilitatea solicitanților și a partenerilor (dacă e cazul)</w:t>
            </w:r>
            <w:r>
              <w:rPr>
                <w:noProof/>
                <w:webHidden/>
              </w:rPr>
              <w:tab/>
            </w:r>
            <w:r>
              <w:rPr>
                <w:noProof/>
                <w:webHidden/>
              </w:rPr>
              <w:fldChar w:fldCharType="begin"/>
            </w:r>
            <w:r>
              <w:rPr>
                <w:noProof/>
                <w:webHidden/>
              </w:rPr>
              <w:instrText xml:space="preserve"> PAGEREF _Toc41298496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7" w:history="1">
            <w:r>
              <w:rPr>
                <w:rStyle w:val="Hyperlink"/>
                <w:rFonts w:ascii="Trebuchet MS" w:hAnsi="Trebuchet MS"/>
                <w:i/>
                <w:noProof/>
              </w:rPr>
              <w:t>Secțiunea 3.3.2 Eligibilitatea grupului țintă</w:t>
            </w:r>
            <w:r>
              <w:rPr>
                <w:noProof/>
                <w:webHidden/>
              </w:rPr>
              <w:tab/>
            </w:r>
            <w:r>
              <w:rPr>
                <w:noProof/>
                <w:webHidden/>
              </w:rPr>
              <w:fldChar w:fldCharType="begin"/>
            </w:r>
            <w:r>
              <w:rPr>
                <w:noProof/>
                <w:webHidden/>
              </w:rPr>
              <w:instrText xml:space="preserve"> PAGEREF _Toc41298497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8" w:history="1">
            <w:r>
              <w:rPr>
                <w:rStyle w:val="Hyperlink"/>
                <w:rFonts w:ascii="Trebuchet MS" w:hAnsi="Trebuchet MS"/>
                <w:i/>
                <w:noProof/>
              </w:rPr>
              <w:t>Secțiunea 3.3.3 Eligibilitatea cheltuielilor</w:t>
            </w:r>
            <w:r>
              <w:rPr>
                <w:noProof/>
                <w:webHidden/>
              </w:rPr>
              <w:tab/>
            </w:r>
            <w:r>
              <w:rPr>
                <w:noProof/>
                <w:webHidden/>
              </w:rPr>
              <w:fldChar w:fldCharType="begin"/>
            </w:r>
            <w:r>
              <w:rPr>
                <w:noProof/>
                <w:webHidden/>
              </w:rPr>
              <w:instrText xml:space="preserve"> PAGEREF _Toc41298498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499" w:history="1">
            <w:r>
              <w:rPr>
                <w:rStyle w:val="Hyperlink"/>
                <w:rFonts w:ascii="Trebuchet MS" w:hAnsi="Trebuchet MS"/>
                <w:i/>
                <w:noProof/>
              </w:rPr>
              <w:t>Secțiunea 3.3.4 Eligibilitatea fișei de proiect</w:t>
            </w:r>
            <w:r>
              <w:rPr>
                <w:noProof/>
                <w:webHidden/>
              </w:rPr>
              <w:tab/>
            </w:r>
            <w:r>
              <w:rPr>
                <w:noProof/>
                <w:webHidden/>
              </w:rPr>
              <w:fldChar w:fldCharType="begin"/>
            </w:r>
            <w:r>
              <w:rPr>
                <w:noProof/>
                <w:webHidden/>
              </w:rPr>
              <w:instrText xml:space="preserve"> PAGEREF _Toc41298499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b w:val="0"/>
              <w:lang w:eastAsia="ro-RO"/>
            </w:rPr>
          </w:pPr>
          <w:hyperlink w:anchor="_Toc41298500" w:history="1">
            <w:r>
              <w:rPr>
                <w:rStyle w:val="Hyperlink"/>
                <w:rFonts w:cs="Arial"/>
              </w:rPr>
              <w:t>CAPITOLUL 4 Pașii necesari accesării finanțării</w:t>
            </w:r>
            <w:r>
              <w:rPr>
                <w:webHidden/>
              </w:rPr>
              <w:tab/>
            </w:r>
            <w:r>
              <w:rPr>
                <w:webHidden/>
              </w:rPr>
              <w:fldChar w:fldCharType="begin"/>
            </w:r>
            <w:r>
              <w:rPr>
                <w:webHidden/>
              </w:rPr>
              <w:instrText xml:space="preserve"> PAGEREF _Toc41298500 \h </w:instrText>
            </w:r>
            <w:r>
              <w:rPr>
                <w:webHidden/>
              </w:rPr>
            </w:r>
            <w:r>
              <w:rPr>
                <w:webHidden/>
              </w:rPr>
              <w:fldChar w:fldCharType="separate"/>
            </w:r>
            <w:r>
              <w:rPr>
                <w:webHidden/>
              </w:rPr>
              <w:t>62</w:t>
            </w:r>
            <w:r>
              <w:rPr>
                <w:webHidden/>
              </w:rPr>
              <w:fldChar w:fldCharType="end"/>
            </w:r>
          </w:hyperlink>
        </w:p>
        <w:p>
          <w:pPr>
            <w:pStyle w:val="TOC2"/>
            <w:rPr>
              <w:rFonts w:asciiTheme="minorHAnsi" w:eastAsiaTheme="minorEastAsia" w:hAnsiTheme="minorHAnsi" w:cstheme="minorBidi"/>
              <w:noProof/>
              <w:lang w:val="ro-RO" w:eastAsia="ro-RO"/>
            </w:rPr>
          </w:pPr>
          <w:hyperlink w:anchor="_Toc41298501" w:history="1">
            <w:r>
              <w:rPr>
                <w:rStyle w:val="Hyperlink"/>
                <w:rFonts w:ascii="Trebuchet MS" w:hAnsi="Trebuchet MS"/>
                <w:i/>
                <w:noProof/>
              </w:rPr>
              <w:t>Subcapitolul 4.1 Fișa de proiect și documentele anexă</w:t>
            </w:r>
            <w:r>
              <w:rPr>
                <w:noProof/>
                <w:webHidden/>
              </w:rPr>
              <w:tab/>
            </w:r>
            <w:r>
              <w:rPr>
                <w:noProof/>
                <w:webHidden/>
              </w:rPr>
              <w:fldChar w:fldCharType="begin"/>
            </w:r>
            <w:r>
              <w:rPr>
                <w:noProof/>
                <w:webHidden/>
              </w:rPr>
              <w:instrText xml:space="preserve"> PAGEREF _Toc41298501 \h </w:instrText>
            </w:r>
            <w:r>
              <w:rPr>
                <w:noProof/>
                <w:webHidden/>
              </w:rPr>
            </w:r>
            <w:r>
              <w:rPr>
                <w:noProof/>
                <w:webHidden/>
              </w:rPr>
              <w:fldChar w:fldCharType="separate"/>
            </w:r>
            <w:r>
              <w:rPr>
                <w:noProof/>
                <w:webHidden/>
              </w:rPr>
              <w:t>62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02" w:history="1">
            <w:r>
              <w:rPr>
                <w:rStyle w:val="Hyperlink"/>
                <w:rFonts w:ascii="Trebuchet MS" w:eastAsia="Arial" w:hAnsi="Trebuchet MS"/>
                <w:b/>
                <w:noProof/>
              </w:rPr>
              <w:t>PASUL 1 - DEPUNEREA FIȘEI DE PROIECT SI DOCUMENTELE ANEXA</w:t>
            </w:r>
            <w:r>
              <w:rPr>
                <w:noProof/>
                <w:webHidden/>
              </w:rPr>
              <w:tab/>
            </w:r>
            <w:r>
              <w:rPr>
                <w:noProof/>
                <w:webHidden/>
              </w:rPr>
              <w:fldChar w:fldCharType="begin"/>
            </w:r>
            <w:r>
              <w:rPr>
                <w:noProof/>
                <w:webHidden/>
              </w:rPr>
              <w:instrText xml:space="preserve"> PAGEREF _Toc41298502 \h </w:instrText>
            </w:r>
            <w:r>
              <w:rPr>
                <w:noProof/>
                <w:webHidden/>
              </w:rPr>
            </w:r>
            <w:r>
              <w:rPr>
                <w:noProof/>
                <w:webHidden/>
              </w:rPr>
              <w:fldChar w:fldCharType="separate"/>
            </w:r>
            <w:r>
              <w:rPr>
                <w:noProof/>
                <w:webHidden/>
              </w:rPr>
              <w:t>62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03" w:history="1">
            <w:r>
              <w:rPr>
                <w:rStyle w:val="Hyperlink"/>
                <w:rFonts w:ascii="Trebuchet MS" w:hAnsi="Trebuchet MS"/>
                <w:b/>
                <w:noProof/>
                <w:lang w:val="ro-RO" w:eastAsia="ro-RO"/>
              </w:rPr>
              <w:t>PASUL 2 CONSTITUIREA COMITETULUI DE EVALUARE ȘI SELECȚIE (CES GAL) ȘI NUMIREA MEMBRILOR EVALUATORI</w:t>
            </w:r>
            <w:r>
              <w:rPr>
                <w:noProof/>
                <w:webHidden/>
              </w:rPr>
              <w:tab/>
            </w:r>
            <w:r>
              <w:rPr>
                <w:noProof/>
                <w:webHidden/>
              </w:rPr>
              <w:fldChar w:fldCharType="begin"/>
            </w:r>
            <w:r>
              <w:rPr>
                <w:noProof/>
                <w:webHidden/>
              </w:rPr>
              <w:instrText xml:space="preserve"> PAGEREF _Toc41298503 \h </w:instrText>
            </w:r>
            <w:r>
              <w:rPr>
                <w:noProof/>
                <w:webHidden/>
              </w:rPr>
            </w:r>
            <w:r>
              <w:rPr>
                <w:noProof/>
                <w:webHidden/>
              </w:rPr>
              <w:fldChar w:fldCharType="separate"/>
            </w:r>
            <w:r>
              <w:rPr>
                <w:noProof/>
                <w:webHidden/>
              </w:rPr>
              <w:t>66</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04" w:history="1">
            <w:r>
              <w:rPr>
                <w:rStyle w:val="Hyperlink"/>
                <w:rFonts w:ascii="Trebuchet MS" w:hAnsi="Trebuchet MS"/>
                <w:b/>
                <w:noProof/>
                <w:lang w:val="ro-RO" w:eastAsia="ro-RO"/>
              </w:rPr>
              <w:t>1.1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REPARTIZAREA FP ÎN ETAPA CAE</w:t>
            </w:r>
            <w:r>
              <w:rPr>
                <w:noProof/>
                <w:webHidden/>
              </w:rPr>
              <w:tab/>
            </w:r>
            <w:r>
              <w:rPr>
                <w:noProof/>
                <w:webHidden/>
              </w:rPr>
              <w:fldChar w:fldCharType="begin"/>
            </w:r>
            <w:r>
              <w:rPr>
                <w:noProof/>
                <w:webHidden/>
              </w:rPr>
              <w:instrText xml:space="preserve"> PAGEREF _Toc41298504 \h </w:instrText>
            </w:r>
            <w:r>
              <w:rPr>
                <w:noProof/>
                <w:webHidden/>
              </w:rPr>
            </w:r>
            <w:r>
              <w:rPr>
                <w:noProof/>
                <w:webHidden/>
              </w:rPr>
              <w:fldChar w:fldCharType="separate"/>
            </w:r>
            <w:r>
              <w:rPr>
                <w:noProof/>
                <w:webHidden/>
              </w:rPr>
              <w:t>67</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05" w:history="1">
            <w:r>
              <w:rPr>
                <w:rStyle w:val="Hyperlink"/>
                <w:rFonts w:ascii="Trebuchet MS" w:hAnsi="Trebuchet MS"/>
                <w:b/>
                <w:noProof/>
                <w:lang w:val="ro-RO" w:eastAsia="ro-RO"/>
              </w:rPr>
              <w:t>1.2</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DESFĂȘURAREA ETAPEI CAE</w:t>
            </w:r>
            <w:r>
              <w:rPr>
                <w:noProof/>
                <w:webHidden/>
              </w:rPr>
              <w:tab/>
            </w:r>
            <w:r>
              <w:rPr>
                <w:noProof/>
                <w:webHidden/>
              </w:rPr>
              <w:fldChar w:fldCharType="begin"/>
            </w:r>
            <w:r>
              <w:rPr>
                <w:noProof/>
                <w:webHidden/>
              </w:rPr>
              <w:instrText xml:space="preserve"> PAGEREF _Toc41298505 \h </w:instrText>
            </w:r>
            <w:r>
              <w:rPr>
                <w:noProof/>
                <w:webHidden/>
              </w:rPr>
            </w:r>
            <w:r>
              <w:rPr>
                <w:noProof/>
                <w:webHidden/>
              </w:rPr>
              <w:fldChar w:fldCharType="separate"/>
            </w:r>
            <w:r>
              <w:rPr>
                <w:noProof/>
                <w:webHidden/>
              </w:rPr>
              <w:t>67</w:t>
            </w:r>
            <w:r>
              <w:rPr>
                <w:noProof/>
                <w:webHidden/>
              </w:rPr>
              <w:fldChar w:fldCharType="end"/>
            </w:r>
          </w:hyperlink>
        </w:p>
        <w:p>
          <w:pPr>
            <w:pStyle w:val="TOC3"/>
            <w:tabs>
              <w:tab w:val="left" w:pos="1100"/>
            </w:tabs>
            <w:rPr>
              <w:rFonts w:asciiTheme="minorHAnsi" w:eastAsiaTheme="minorEastAsia" w:hAnsiTheme="minorHAnsi" w:cstheme="minorBidi"/>
              <w:noProof/>
              <w:lang w:val="ro-RO" w:eastAsia="ro-RO"/>
            </w:rPr>
          </w:pPr>
          <w:hyperlink w:anchor="_Toc41298506" w:history="1">
            <w:r>
              <w:rPr>
                <w:rStyle w:val="Hyperlink"/>
                <w:rFonts w:ascii="Trebuchet MS" w:hAnsi="Trebuchet MS"/>
                <w:b/>
                <w:noProof/>
                <w:lang w:val="ro-RO" w:eastAsia="ro-RO"/>
              </w:rPr>
              <w:t>1.2.1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ETAPA CAE PENTRU PROIECTELE POR</w:t>
            </w:r>
            <w:r>
              <w:rPr>
                <w:noProof/>
                <w:webHidden/>
              </w:rPr>
              <w:tab/>
            </w:r>
            <w:r>
              <w:rPr>
                <w:noProof/>
                <w:webHidden/>
              </w:rPr>
              <w:fldChar w:fldCharType="begin"/>
            </w:r>
            <w:r>
              <w:rPr>
                <w:noProof/>
                <w:webHidden/>
              </w:rPr>
              <w:instrText xml:space="preserve"> PAGEREF _Toc41298506 \h </w:instrText>
            </w:r>
            <w:r>
              <w:rPr>
                <w:noProof/>
                <w:webHidden/>
              </w:rPr>
            </w:r>
            <w:r>
              <w:rPr>
                <w:noProof/>
                <w:webHidden/>
              </w:rPr>
              <w:fldChar w:fldCharType="separate"/>
            </w:r>
            <w:r>
              <w:rPr>
                <w:noProof/>
                <w:webHidden/>
              </w:rPr>
              <w:t>68</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07" w:history="1">
            <w:r>
              <w:rPr>
                <w:rStyle w:val="Hyperlink"/>
                <w:rFonts w:ascii="Trebuchet MS" w:hAnsi="Trebuchet MS"/>
                <w:b/>
                <w:noProof/>
                <w:lang w:val="ro-RO" w:eastAsia="ro-RO"/>
              </w:rPr>
              <w:t>1.3</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SOLICITAREA DE CLARIFICĂRI ÎN ETAPA CAE</w:t>
            </w:r>
            <w:r>
              <w:rPr>
                <w:noProof/>
                <w:webHidden/>
              </w:rPr>
              <w:tab/>
            </w:r>
            <w:r>
              <w:rPr>
                <w:noProof/>
                <w:webHidden/>
              </w:rPr>
              <w:fldChar w:fldCharType="begin"/>
            </w:r>
            <w:r>
              <w:rPr>
                <w:noProof/>
                <w:webHidden/>
              </w:rPr>
              <w:instrText xml:space="preserve"> PAGEREF _Toc41298507 \h </w:instrText>
            </w:r>
            <w:r>
              <w:rPr>
                <w:noProof/>
                <w:webHidden/>
              </w:rPr>
            </w:r>
            <w:r>
              <w:rPr>
                <w:noProof/>
                <w:webHidden/>
              </w:rPr>
              <w:fldChar w:fldCharType="separate"/>
            </w:r>
            <w:r>
              <w:rPr>
                <w:noProof/>
                <w:webHidden/>
              </w:rPr>
              <w:t>68</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08" w:history="1">
            <w:r>
              <w:rPr>
                <w:rStyle w:val="Hyperlink"/>
                <w:rFonts w:ascii="Trebuchet MS" w:hAnsi="Trebuchet MS"/>
                <w:b/>
                <w:noProof/>
                <w:lang w:val="ro-RO" w:eastAsia="ro-RO"/>
              </w:rPr>
              <w:t>1.4</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NOTIFICAREA INDIVIDUALĂ A BENEFICIARILOR PRIVIND REZULTATUL ETAPEI CAE</w:t>
            </w:r>
            <w:r>
              <w:rPr>
                <w:noProof/>
                <w:webHidden/>
              </w:rPr>
              <w:tab/>
            </w:r>
            <w:r>
              <w:rPr>
                <w:noProof/>
                <w:webHidden/>
              </w:rPr>
              <w:fldChar w:fldCharType="begin"/>
            </w:r>
            <w:r>
              <w:rPr>
                <w:noProof/>
                <w:webHidden/>
              </w:rPr>
              <w:instrText xml:space="preserve"> PAGEREF _Toc41298508 \h </w:instrText>
            </w:r>
            <w:r>
              <w:rPr>
                <w:noProof/>
                <w:webHidden/>
              </w:rPr>
            </w:r>
            <w:r>
              <w:rPr>
                <w:noProof/>
                <w:webHidden/>
              </w:rPr>
              <w:fldChar w:fldCharType="separate"/>
            </w:r>
            <w:r>
              <w:rPr>
                <w:noProof/>
                <w:webHidden/>
              </w:rPr>
              <w:t>68</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09" w:history="1">
            <w:r>
              <w:rPr>
                <w:rStyle w:val="Hyperlink"/>
                <w:rFonts w:ascii="Trebuchet MS" w:hAnsi="Trebuchet MS"/>
                <w:b/>
                <w:noProof/>
                <w:lang w:val="ro-RO" w:eastAsia="ro-RO"/>
              </w:rPr>
              <w:t>1.5</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CONSTITUIREA COMISIEI DE SOLUȚIONARE A CONTESTAȚIILOR ÎN ETAPA CAE</w:t>
            </w:r>
            <w:r>
              <w:rPr>
                <w:noProof/>
                <w:webHidden/>
              </w:rPr>
              <w:tab/>
            </w:r>
            <w:r>
              <w:rPr>
                <w:noProof/>
                <w:webHidden/>
              </w:rPr>
              <w:fldChar w:fldCharType="begin"/>
            </w:r>
            <w:r>
              <w:rPr>
                <w:noProof/>
                <w:webHidden/>
              </w:rPr>
              <w:instrText xml:space="preserve"> PAGEREF _Toc41298509 \h </w:instrText>
            </w:r>
            <w:r>
              <w:rPr>
                <w:noProof/>
                <w:webHidden/>
              </w:rPr>
            </w:r>
            <w:r>
              <w:rPr>
                <w:noProof/>
                <w:webHidden/>
              </w:rPr>
              <w:fldChar w:fldCharType="separate"/>
            </w:r>
            <w:r>
              <w:rPr>
                <w:noProof/>
                <w:webHidden/>
              </w:rPr>
              <w:t>68</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0" w:history="1">
            <w:r>
              <w:rPr>
                <w:rStyle w:val="Hyperlink"/>
                <w:rFonts w:ascii="Trebuchet MS" w:hAnsi="Trebuchet MS"/>
                <w:b/>
                <w:noProof/>
                <w:lang w:val="ro-RO" w:eastAsia="ro-RO"/>
              </w:rPr>
              <w:t>1.6</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SOLUȚIONAREA CONTESTAȚIILOR ÎN ETAPA CAE</w:t>
            </w:r>
            <w:r>
              <w:rPr>
                <w:noProof/>
                <w:webHidden/>
              </w:rPr>
              <w:tab/>
            </w:r>
            <w:r>
              <w:rPr>
                <w:noProof/>
                <w:webHidden/>
              </w:rPr>
              <w:fldChar w:fldCharType="begin"/>
            </w:r>
            <w:r>
              <w:rPr>
                <w:noProof/>
                <w:webHidden/>
              </w:rPr>
              <w:instrText xml:space="preserve"> PAGEREF _Toc41298510 \h </w:instrText>
            </w:r>
            <w:r>
              <w:rPr>
                <w:noProof/>
                <w:webHidden/>
              </w:rPr>
            </w:r>
            <w:r>
              <w:rPr>
                <w:noProof/>
                <w:webHidden/>
              </w:rPr>
              <w:fldChar w:fldCharType="separate"/>
            </w:r>
            <w:r>
              <w:rPr>
                <w:noProof/>
                <w:webHidden/>
              </w:rPr>
              <w:t>69</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1" w:history="1">
            <w:r>
              <w:rPr>
                <w:rStyle w:val="Hyperlink"/>
                <w:rFonts w:ascii="Trebuchet MS" w:hAnsi="Trebuchet MS"/>
                <w:b/>
                <w:noProof/>
                <w:lang w:val="ro-RO" w:eastAsia="ro-RO"/>
              </w:rPr>
              <w:t>1.7</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REPARTIZAREA FP ÎN ETAPA ETF</w:t>
            </w:r>
            <w:r>
              <w:rPr>
                <w:noProof/>
                <w:webHidden/>
              </w:rPr>
              <w:tab/>
            </w:r>
            <w:r>
              <w:rPr>
                <w:noProof/>
                <w:webHidden/>
              </w:rPr>
              <w:fldChar w:fldCharType="begin"/>
            </w:r>
            <w:r>
              <w:rPr>
                <w:noProof/>
                <w:webHidden/>
              </w:rPr>
              <w:instrText xml:space="preserve"> PAGEREF _Toc41298511 \h </w:instrText>
            </w:r>
            <w:r>
              <w:rPr>
                <w:noProof/>
                <w:webHidden/>
              </w:rPr>
            </w:r>
            <w:r>
              <w:rPr>
                <w:noProof/>
                <w:webHidden/>
              </w:rPr>
              <w:fldChar w:fldCharType="separate"/>
            </w:r>
            <w:r>
              <w:rPr>
                <w:noProof/>
                <w:webHidden/>
              </w:rPr>
              <w:t>69</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2" w:history="1">
            <w:r>
              <w:rPr>
                <w:rStyle w:val="Hyperlink"/>
                <w:rFonts w:ascii="Trebuchet MS" w:hAnsi="Trebuchet MS"/>
                <w:b/>
                <w:noProof/>
                <w:lang w:val="ro-RO" w:eastAsia="ro-RO"/>
              </w:rPr>
              <w:t>1.8</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DESFĂȘURAREA ETAPEI ETF</w:t>
            </w:r>
            <w:r>
              <w:rPr>
                <w:noProof/>
                <w:webHidden/>
              </w:rPr>
              <w:tab/>
            </w:r>
            <w:r>
              <w:rPr>
                <w:noProof/>
                <w:webHidden/>
              </w:rPr>
              <w:fldChar w:fldCharType="begin"/>
            </w:r>
            <w:r>
              <w:rPr>
                <w:noProof/>
                <w:webHidden/>
              </w:rPr>
              <w:instrText xml:space="preserve"> PAGEREF _Toc41298512 \h </w:instrText>
            </w:r>
            <w:r>
              <w:rPr>
                <w:noProof/>
                <w:webHidden/>
              </w:rPr>
            </w:r>
            <w:r>
              <w:rPr>
                <w:noProof/>
                <w:webHidden/>
              </w:rPr>
              <w:fldChar w:fldCharType="separate"/>
            </w:r>
            <w:r>
              <w:rPr>
                <w:noProof/>
                <w:webHidden/>
              </w:rPr>
              <w:t>69</w:t>
            </w:r>
            <w:r>
              <w:rPr>
                <w:noProof/>
                <w:webHidden/>
              </w:rPr>
              <w:fldChar w:fldCharType="end"/>
            </w:r>
          </w:hyperlink>
        </w:p>
        <w:p>
          <w:pPr>
            <w:pStyle w:val="TOC3"/>
            <w:tabs>
              <w:tab w:val="left" w:pos="1100"/>
            </w:tabs>
            <w:rPr>
              <w:rFonts w:asciiTheme="minorHAnsi" w:eastAsiaTheme="minorEastAsia" w:hAnsiTheme="minorHAnsi" w:cstheme="minorBidi"/>
              <w:noProof/>
              <w:lang w:val="ro-RO" w:eastAsia="ro-RO"/>
            </w:rPr>
          </w:pPr>
          <w:hyperlink w:anchor="_Toc41298513" w:history="1">
            <w:r>
              <w:rPr>
                <w:rStyle w:val="Hyperlink"/>
                <w:rFonts w:ascii="Trebuchet MS" w:hAnsi="Trebuchet MS"/>
                <w:b/>
                <w:noProof/>
                <w:lang w:val="ro-RO" w:eastAsia="ro-RO"/>
              </w:rPr>
              <w:t>1.8.1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ETAPA ETF PENTRU PROIECTELE POR</w:t>
            </w:r>
            <w:r>
              <w:rPr>
                <w:noProof/>
                <w:webHidden/>
              </w:rPr>
              <w:tab/>
            </w:r>
            <w:r>
              <w:rPr>
                <w:noProof/>
                <w:webHidden/>
              </w:rPr>
              <w:fldChar w:fldCharType="begin"/>
            </w:r>
            <w:r>
              <w:rPr>
                <w:noProof/>
                <w:webHidden/>
              </w:rPr>
              <w:instrText xml:space="preserve"> PAGEREF _Toc41298513 \h </w:instrText>
            </w:r>
            <w:r>
              <w:rPr>
                <w:noProof/>
                <w:webHidden/>
              </w:rPr>
            </w:r>
            <w:r>
              <w:rPr>
                <w:noProof/>
                <w:webHidden/>
              </w:rPr>
              <w:fldChar w:fldCharType="separate"/>
            </w:r>
            <w:r>
              <w:rPr>
                <w:noProof/>
                <w:webHidden/>
              </w:rPr>
              <w:t>69</w:t>
            </w:r>
            <w:r>
              <w:rPr>
                <w:noProof/>
                <w:webHidden/>
              </w:rPr>
              <w:fldChar w:fldCharType="end"/>
            </w:r>
          </w:hyperlink>
        </w:p>
        <w:p>
          <w:pPr>
            <w:pStyle w:val="TOC3"/>
            <w:tabs>
              <w:tab w:val="left" w:pos="1100"/>
            </w:tabs>
            <w:rPr>
              <w:rFonts w:asciiTheme="minorHAnsi" w:eastAsiaTheme="minorEastAsia" w:hAnsiTheme="minorHAnsi" w:cstheme="minorBidi"/>
              <w:noProof/>
              <w:lang w:val="ro-RO" w:eastAsia="ro-RO"/>
            </w:rPr>
          </w:pPr>
          <w:hyperlink w:anchor="_Toc41298514" w:history="1">
            <w:r>
              <w:rPr>
                <w:rStyle w:val="Hyperlink"/>
                <w:rFonts w:ascii="Trebuchet MS" w:hAnsi="Trebuchet MS"/>
                <w:b/>
                <w:noProof/>
                <w:lang w:val="ro-RO" w:eastAsia="ro-RO"/>
              </w:rPr>
              <w:t>1.8.2</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SOLICITAREA DE CLARIFICĂRI ÎN ETAPA ETF</w:t>
            </w:r>
            <w:r>
              <w:rPr>
                <w:noProof/>
                <w:webHidden/>
              </w:rPr>
              <w:tab/>
            </w:r>
            <w:r>
              <w:rPr>
                <w:noProof/>
                <w:webHidden/>
              </w:rPr>
              <w:fldChar w:fldCharType="begin"/>
            </w:r>
            <w:r>
              <w:rPr>
                <w:noProof/>
                <w:webHidden/>
              </w:rPr>
              <w:instrText xml:space="preserve"> PAGEREF _Toc41298514 \h </w:instrText>
            </w:r>
            <w:r>
              <w:rPr>
                <w:noProof/>
                <w:webHidden/>
              </w:rPr>
            </w:r>
            <w:r>
              <w:rPr>
                <w:noProof/>
                <w:webHidden/>
              </w:rPr>
              <w:fldChar w:fldCharType="separate"/>
            </w:r>
            <w:r>
              <w:rPr>
                <w:noProof/>
                <w:webHidden/>
              </w:rPr>
              <w:t>70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5" w:history="1">
            <w:r>
              <w:rPr>
                <w:rStyle w:val="Hyperlink"/>
                <w:rFonts w:ascii="Trebuchet MS" w:hAnsi="Trebuchet MS"/>
                <w:b/>
                <w:noProof/>
                <w:lang w:val="ro-RO" w:eastAsia="ro-RO"/>
              </w:rPr>
              <w:t>1.9</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SELECȚIA FP APROBATE CU ÎNCADRAREA ÎN BUGETUL INTERVENȚIEI</w:t>
            </w:r>
            <w:r>
              <w:rPr>
                <w:noProof/>
                <w:webHidden/>
              </w:rPr>
              <w:tab/>
            </w:r>
            <w:r>
              <w:rPr>
                <w:noProof/>
                <w:webHidden/>
              </w:rPr>
              <w:fldChar w:fldCharType="begin"/>
            </w:r>
            <w:r>
              <w:rPr>
                <w:noProof/>
                <w:webHidden/>
              </w:rPr>
              <w:instrText xml:space="preserve"> PAGEREF _Toc41298515 \h </w:instrText>
            </w:r>
            <w:r>
              <w:rPr>
                <w:noProof/>
                <w:webHidden/>
              </w:rPr>
            </w:r>
            <w:r>
              <w:rPr>
                <w:noProof/>
                <w:webHidden/>
              </w:rPr>
              <w:fldChar w:fldCharType="separate"/>
            </w:r>
            <w:r>
              <w:rPr>
                <w:noProof/>
                <w:webHidden/>
              </w:rPr>
              <w:t>70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6" w:history="1">
            <w:r>
              <w:rPr>
                <w:rStyle w:val="Hyperlink"/>
                <w:rFonts w:ascii="Trebuchet MS" w:hAnsi="Trebuchet MS"/>
                <w:b/>
                <w:noProof/>
                <w:lang w:val="ro-RO" w:eastAsia="ro-RO"/>
              </w:rPr>
              <w:t>1.10</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ANUNȚAREA REZULTATULUI INTERMEDIAR AL PROCESULUI DE EVALUARE ȘI SELECȚIE A FP</w:t>
            </w:r>
            <w:r>
              <w:rPr>
                <w:noProof/>
                <w:webHidden/>
              </w:rPr>
              <w:tab/>
            </w:r>
            <w:r>
              <w:rPr>
                <w:noProof/>
                <w:webHidden/>
              </w:rPr>
              <w:fldChar w:fldCharType="begin"/>
            </w:r>
            <w:r>
              <w:rPr>
                <w:noProof/>
                <w:webHidden/>
              </w:rPr>
              <w:instrText xml:space="preserve"> PAGEREF _Toc41298516 \h </w:instrText>
            </w:r>
            <w:r>
              <w:rPr>
                <w:noProof/>
                <w:webHidden/>
              </w:rPr>
            </w:r>
            <w:r>
              <w:rPr>
                <w:noProof/>
                <w:webHidden/>
              </w:rPr>
              <w:fldChar w:fldCharType="separate"/>
            </w:r>
            <w:r>
              <w:rPr>
                <w:noProof/>
                <w:webHidden/>
              </w:rPr>
              <w:t>70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7" w:history="1">
            <w:r>
              <w:rPr>
                <w:rStyle w:val="Hyperlink"/>
                <w:rFonts w:ascii="Trebuchet MS" w:hAnsi="Trebuchet MS"/>
                <w:b/>
                <w:noProof/>
                <w:lang w:val="ro-RO" w:eastAsia="ro-RO"/>
              </w:rPr>
              <w:t>1.11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CONSTITUIREA COMISIEI DE SOLUȚIONARE A CONTESTAȚIILOR ÎN ETAPA ETF</w:t>
            </w:r>
            <w:r>
              <w:rPr>
                <w:noProof/>
                <w:webHidden/>
              </w:rPr>
              <w:tab/>
            </w:r>
            <w:r>
              <w:rPr>
                <w:noProof/>
                <w:webHidden/>
              </w:rPr>
              <w:fldChar w:fldCharType="begin"/>
            </w:r>
            <w:r>
              <w:rPr>
                <w:noProof/>
                <w:webHidden/>
              </w:rPr>
              <w:instrText xml:space="preserve"> PAGEREF _Toc41298517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8" w:history="1">
            <w:r>
              <w:rPr>
                <w:rStyle w:val="Hyperlink"/>
                <w:rFonts w:ascii="Trebuchet MS" w:hAnsi="Trebuchet MS"/>
                <w:b/>
                <w:noProof/>
                <w:lang w:val="ro-RO" w:eastAsia="ro-RO"/>
              </w:rPr>
              <w:t>1.12</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SOLUȚIONAREA CONTESTAȚIILOR ÎN ETAPA ETF</w:t>
            </w:r>
            <w:r>
              <w:rPr>
                <w:noProof/>
                <w:webHidden/>
              </w:rPr>
              <w:tab/>
            </w:r>
            <w:r>
              <w:rPr>
                <w:noProof/>
                <w:webHidden/>
              </w:rPr>
              <w:fldChar w:fldCharType="begin"/>
            </w:r>
            <w:r>
              <w:rPr>
                <w:noProof/>
                <w:webHidden/>
              </w:rPr>
              <w:instrText xml:space="preserve"> PAGEREF _Toc41298518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19" w:history="1">
            <w:r>
              <w:rPr>
                <w:rStyle w:val="Hyperlink"/>
                <w:rFonts w:ascii="Trebuchet MS" w:hAnsi="Trebuchet MS"/>
                <w:b/>
                <w:noProof/>
                <w:lang w:val="ro-RO" w:eastAsia="ro-RO"/>
              </w:rPr>
              <w:t>1.13</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FINALIZAREA PROCESULUI DE EVALUARE ȘI SELECȚIE A FP ȘI COMUNICAREA REZULTATELOR</w:t>
            </w:r>
            <w:r>
              <w:rPr>
                <w:noProof/>
                <w:webHidden/>
              </w:rPr>
              <w:tab/>
            </w:r>
            <w:r>
              <w:rPr>
                <w:noProof/>
                <w:webHidden/>
              </w:rPr>
              <w:fldChar w:fldCharType="begin"/>
            </w:r>
            <w:r>
              <w:rPr>
                <w:noProof/>
                <w:webHidden/>
              </w:rPr>
              <w:instrText xml:space="preserve"> PAGEREF _Toc41298519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20" w:history="1">
            <w:r>
              <w:rPr>
                <w:rStyle w:val="Hyperlink"/>
                <w:rFonts w:ascii="Trebuchet MS" w:eastAsia="Arial" w:hAnsi="Trebuchet MS"/>
                <w:b/>
                <w:noProof/>
              </w:rPr>
              <w:t>PASUL 3 - DEZVOLTAREA CERERII DE FINANȚARE</w:t>
            </w:r>
            <w:r>
              <w:rPr>
                <w:noProof/>
                <w:webHidden/>
              </w:rPr>
              <w:tab/>
            </w:r>
            <w:r>
              <w:rPr>
                <w:noProof/>
                <w:webHidden/>
              </w:rPr>
              <w:fldChar w:fldCharType="begin"/>
            </w:r>
            <w:r>
              <w:rPr>
                <w:noProof/>
                <w:webHidden/>
              </w:rPr>
              <w:instrText xml:space="preserve"> PAGEREF _Toc41298520 \h </w:instrText>
            </w:r>
            <w:r>
              <w:rPr>
                <w:noProof/>
                <w:webHidden/>
              </w:rPr>
            </w:r>
            <w:r>
              <w:rPr>
                <w:noProof/>
                <w:webHidden/>
              </w:rPr>
              <w:fldChar w:fldCharType="separate"/>
            </w:r>
            <w:r>
              <w:rPr>
                <w:noProof/>
                <w:webHidden/>
              </w:rPr>
              <w:t>72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21" w:history="1">
            <w:r>
              <w:rPr>
                <w:rStyle w:val="Hyperlink"/>
                <w:rFonts w:ascii="Trebuchet MS" w:hAnsi="Trebuchet MS"/>
                <w:i/>
                <w:noProof/>
              </w:rPr>
              <w:t>Subcapitolul 4.2 Cererea definanțare – transmiterea, verificarea si contractarea</w:t>
            </w:r>
            <w:r>
              <w:rPr>
                <w:noProof/>
                <w:webHidden/>
              </w:rPr>
              <w:tab/>
            </w:r>
            <w:r>
              <w:rPr>
                <w:noProof/>
                <w:webHidden/>
              </w:rPr>
              <w:fldChar w:fldCharType="begin"/>
            </w:r>
            <w:r>
              <w:rPr>
                <w:noProof/>
                <w:webHidden/>
              </w:rPr>
              <w:instrText xml:space="preserve"> PAGEREF _Toc41298521 \h </w:instrText>
            </w:r>
            <w:r>
              <w:rPr>
                <w:noProof/>
                <w:webHidden/>
              </w:rPr>
            </w:r>
            <w:r>
              <w:rPr>
                <w:noProof/>
                <w:webHidden/>
              </w:rPr>
              <w:fldChar w:fldCharType="separate"/>
            </w:r>
            <w:r>
              <w:rPr>
                <w:noProof/>
                <w:webHidden/>
              </w:rPr>
              <w:t>72</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522" w:history="1">
            <w:r>
              <w:rPr>
                <w:rStyle w:val="Hyperlink"/>
                <w:rFonts w:ascii="Trebuchet MS" w:hAnsi="Trebuchet MS"/>
                <w:noProof/>
              </w:rPr>
              <w:t>ANEXELE OBLIGATORII LA MOMENTUL CONTRACTĂRII CERERII DE FINANȚARE:</w:t>
            </w:r>
            <w:r>
              <w:rPr>
                <w:noProof/>
                <w:webHidden/>
              </w:rPr>
              <w:tab/>
            </w:r>
            <w:r>
              <w:rPr>
                <w:noProof/>
                <w:webHidden/>
              </w:rPr>
              <w:fldChar w:fldCharType="begin"/>
            </w:r>
            <w:r>
              <w:rPr>
                <w:noProof/>
                <w:webHidden/>
              </w:rPr>
              <w:instrText xml:space="preserve"> PAGEREF _Toc41298522 \h </w:instrText>
            </w:r>
            <w:r>
              <w:rPr>
                <w:noProof/>
                <w:webHidden/>
              </w:rPr>
            </w:r>
            <w:r>
              <w:rPr>
                <w:noProof/>
                <w:webHidden/>
              </w:rPr>
              <w:fldChar w:fldCharType="separate"/>
            </w:r>
            <w:r>
              <w:rPr>
                <w:noProof/>
                <w:webHidden/>
              </w:rPr>
              <w:t>73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523" w:history="1">
            <w:r>
              <w:rPr>
                <w:rStyle w:val="Hyperlink"/>
                <w:rFonts w:ascii="Trebuchet MS" w:hAnsi="Trebuchet MS"/>
                <w:noProof/>
              </w:rPr>
              <w:t>ELEMENTE OBLIGATORII DE IDENTITATE VIZUALĂ</w:t>
            </w:r>
            <w:r>
              <w:rPr>
                <w:noProof/>
                <w:webHidden/>
              </w:rPr>
              <w:tab/>
            </w:r>
            <w:r>
              <w:rPr>
                <w:noProof/>
                <w:webHidden/>
              </w:rPr>
              <w:fldChar w:fldCharType="begin"/>
            </w:r>
            <w:r>
              <w:rPr>
                <w:noProof/>
                <w:webHidden/>
              </w:rPr>
              <w:instrText xml:space="preserve"> PAGEREF _Toc41298523 \h </w:instrText>
            </w:r>
            <w:r>
              <w:rPr>
                <w:noProof/>
                <w:webHidden/>
              </w:rPr>
            </w:r>
            <w:r>
              <w:rPr>
                <w:noProof/>
                <w:webHidden/>
              </w:rPr>
              <w:fldChar w:fldCharType="separate"/>
            </w:r>
            <w:r>
              <w:rPr>
                <w:noProof/>
                <w:webHidden/>
              </w:rPr>
              <w:t>73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41298524" w:history="1">
            <w:r>
              <w:rPr>
                <w:rStyle w:val="Hyperlink"/>
                <w:rFonts w:ascii="Trebuchet MS" w:hAnsi="Trebuchet MS"/>
                <w:noProof/>
              </w:rPr>
              <w:t>MODIFICAREA GHIDULUI SOLICITANTULUI</w:t>
            </w:r>
            <w:r>
              <w:rPr>
                <w:noProof/>
                <w:webHidden/>
              </w:rPr>
              <w:tab/>
            </w:r>
            <w:r>
              <w:rPr>
                <w:noProof/>
                <w:webHidden/>
              </w:rPr>
              <w:fldChar w:fldCharType="begin"/>
            </w:r>
            <w:r>
              <w:rPr>
                <w:noProof/>
                <w:webHidden/>
              </w:rPr>
              <w:instrText xml:space="preserve"> PAGEREF _Toc41298524 \h </w:instrText>
            </w:r>
            <w:r>
              <w:rPr>
                <w:noProof/>
                <w:webHidden/>
              </w:rPr>
            </w:r>
            <w:r>
              <w:rPr>
                <w:noProof/>
                <w:webHidden/>
              </w:rPr>
              <w:fldChar w:fldCharType="separate"/>
            </w:r>
            <w:r>
              <w:rPr>
                <w:noProof/>
                <w:webHidden/>
              </w:rPr>
              <w:t>74</w:t>
            </w:r>
            <w:r>
              <w:rPr>
                <w:noProof/>
                <w:webHidden/>
              </w:rPr>
              <w:fldChar w:fldCharType="end"/>
            </w:r>
          </w:hyperlink>
        </w:p>
        <w:p>
          <w:pPr>
            <w:pStyle w:val="TOC1"/>
            <w:rPr>
              <w:rFonts w:asciiTheme="minorHAnsi" w:eastAsiaTheme="minorEastAsia" w:hAnsiTheme="minorHAnsi" w:cstheme="minorBidi"/>
              <w:b w:val="0"/>
              <w:lang w:eastAsia="ro-RO"/>
            </w:rPr>
          </w:pPr>
          <w:hyperlink w:anchor="_Toc41298525" w:history="1">
            <w:r>
              <w:rPr>
                <w:rStyle w:val="Hyperlink"/>
                <w:rFonts w:cs="Arial"/>
              </w:rPr>
              <w:t>CAPITOLUL 5 Lista documentelor ce însoțesc fișa de proiect</w:t>
            </w:r>
            <w:r>
              <w:rPr>
                <w:webHidden/>
              </w:rPr>
              <w:tab/>
            </w:r>
            <w:r>
              <w:rPr>
                <w:webHidden/>
              </w:rPr>
              <w:fldChar w:fldCharType="begin"/>
            </w:r>
            <w:r>
              <w:rPr>
                <w:webHidden/>
              </w:rPr>
              <w:instrText xml:space="preserve"> PAGEREF _Toc41298525 \h </w:instrText>
            </w:r>
            <w:r>
              <w:rPr>
                <w:webHidden/>
              </w:rPr>
            </w:r>
            <w:r>
              <w:rPr>
                <w:webHidden/>
              </w:rPr>
              <w:fldChar w:fldCharType="separate"/>
            </w:r>
            <w:r>
              <w:rPr>
                <w:webHidden/>
              </w:rPr>
              <w:t>75</w:t>
            </w:r>
            <w:r>
              <w:rPr>
                <w:webHidden/>
              </w:rPr>
              <w:fldChar w:fldCharType="end"/>
            </w:r>
          </w:hyperlink>
        </w:p>
        <w:p>
          <w:pPr>
            <w:pStyle w:val="TOC1"/>
            <w:rPr>
              <w:rFonts w:asciiTheme="minorHAnsi" w:eastAsiaTheme="minorEastAsia" w:hAnsiTheme="minorHAnsi" w:cstheme="minorBidi"/>
              <w:b w:val="0"/>
              <w:lang w:eastAsia="ro-RO"/>
            </w:rPr>
          </w:pPr>
          <w:hyperlink w:anchor="_Toc41298526" w:history="1">
            <w:r>
              <w:rPr>
                <w:rStyle w:val="Hyperlink"/>
                <w:rFonts w:cs="Arial"/>
              </w:rPr>
              <w:t>CAPITOLUL 6 Lista anexelor prezentului ghid</w:t>
            </w:r>
            <w:r>
              <w:rPr>
                <w:webHidden/>
              </w:rPr>
              <w:tab/>
            </w:r>
            <w:r>
              <w:rPr>
                <w:webHidden/>
              </w:rPr>
              <w:fldChar w:fldCharType="begin"/>
            </w:r>
            <w:r>
              <w:rPr>
                <w:webHidden/>
              </w:rPr>
              <w:instrText xml:space="preserve"> PAGEREF _Toc41298526 \h </w:instrText>
            </w:r>
            <w:r>
              <w:rPr>
                <w:webHidden/>
              </w:rPr>
            </w:r>
            <w:r>
              <w:rPr>
                <w:webHidden/>
              </w:rPr>
              <w:fldChar w:fldCharType="separate"/>
            </w:r>
            <w:r>
              <w:rPr>
                <w:webHidden/>
              </w:rPr>
              <w:t>78</w:t>
            </w:r>
            <w:r>
              <w:rPr>
                <w:webHidden/>
              </w:rPr>
              <w:fldChar w:fldCharType="end"/>
            </w:r>
          </w:hyperlink>
        </w:p>
        <w:p>
          <w:pPr>
            <w:pStyle w:val="TOC2"/>
            <w:rPr>
              <w:rFonts w:asciiTheme="minorHAnsi" w:eastAsiaTheme="minorEastAsia" w:hAnsiTheme="minorHAnsi" w:cstheme="minorBidi"/>
              <w:noProof/>
              <w:lang w:val="ro-RO" w:eastAsia="ro-RO"/>
            </w:rPr>
          </w:pPr>
          <w:hyperlink w:anchor="_Toc41298527" w:history="1">
            <w:r>
              <w:rPr>
                <w:rStyle w:val="Hyperlink"/>
                <w:rFonts w:ascii="Trebuchet MS" w:eastAsia="Times New Roman" w:hAnsi="Trebuchet MS" w:cs="Arial"/>
                <w:noProof/>
                <w:lang w:val="ro-RO"/>
              </w:rPr>
              <w:t>Anexa 1 - Formularul Fișei de proiect</w:t>
            </w:r>
            <w:r>
              <w:rPr>
                <w:noProof/>
                <w:webHidden/>
              </w:rPr>
              <w:tab/>
            </w:r>
            <w:r>
              <w:rPr>
                <w:noProof/>
                <w:webHidden/>
              </w:rPr>
              <w:fldChar w:fldCharType="begin"/>
            </w:r>
            <w:r>
              <w:rPr>
                <w:noProof/>
                <w:webHidden/>
              </w:rPr>
              <w:instrText xml:space="preserve"> PAGEREF _Toc41298527 \h </w:instrText>
            </w:r>
            <w:r>
              <w:rPr>
                <w:noProof/>
                <w:webHidden/>
              </w:rPr>
            </w:r>
            <w:r>
              <w:rPr>
                <w:noProof/>
                <w:webHidden/>
              </w:rPr>
              <w:fldChar w:fldCharType="separate"/>
            </w:r>
            <w:r>
              <w:rPr>
                <w:noProof/>
                <w:webHidden/>
              </w:rPr>
              <w:t>78</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28" w:history="1">
            <w:r>
              <w:rPr>
                <w:rStyle w:val="Hyperlink"/>
                <w:rFonts w:ascii="Trebuchet MS" w:eastAsia="Times New Roman" w:hAnsi="Trebuchet MS" w:cs="Arial"/>
                <w:noProof/>
                <w:lang w:val="ro-RO"/>
              </w:rPr>
              <w:t>Anexa 2 - Declarația de eligibilitate - model</w:t>
            </w:r>
            <w:r>
              <w:rPr>
                <w:noProof/>
                <w:webHidden/>
              </w:rPr>
              <w:tab/>
            </w:r>
            <w:r>
              <w:rPr>
                <w:noProof/>
                <w:webHidden/>
              </w:rPr>
              <w:fldChar w:fldCharType="begin"/>
            </w:r>
            <w:r>
              <w:rPr>
                <w:noProof/>
                <w:webHidden/>
              </w:rPr>
              <w:instrText xml:space="preserve"> PAGEREF _Toc41298528 \h </w:instrText>
            </w:r>
            <w:r>
              <w:rPr>
                <w:noProof/>
                <w:webHidden/>
              </w:rPr>
            </w:r>
            <w:r>
              <w:rPr>
                <w:noProof/>
                <w:webHidden/>
              </w:rPr>
              <w:fldChar w:fldCharType="separate"/>
            </w:r>
            <w:r>
              <w:rPr>
                <w:noProof/>
                <w:webHidden/>
              </w:rPr>
              <w:t>84</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29" w:history="1">
            <w:r>
              <w:rPr>
                <w:rStyle w:val="Hyperlink"/>
                <w:rFonts w:ascii="Trebuchet MS" w:eastAsia="Times New Roman" w:hAnsi="Trebuchet MS" w:cs="Arial"/>
                <w:noProof/>
                <w:lang w:val="ro-RO"/>
              </w:rPr>
              <w:t>Anexa 3 - Declarația de angajament – model</w:t>
            </w:r>
            <w:r>
              <w:rPr>
                <w:noProof/>
                <w:webHidden/>
              </w:rPr>
              <w:tab/>
            </w:r>
            <w:r>
              <w:rPr>
                <w:noProof/>
                <w:webHidden/>
              </w:rPr>
              <w:fldChar w:fldCharType="begin"/>
            </w:r>
            <w:r>
              <w:rPr>
                <w:noProof/>
                <w:webHidden/>
              </w:rPr>
              <w:instrText xml:space="preserve"> PAGEREF _Toc41298529 \h </w:instrText>
            </w:r>
            <w:r>
              <w:rPr>
                <w:noProof/>
                <w:webHidden/>
              </w:rPr>
            </w:r>
            <w:r>
              <w:rPr>
                <w:noProof/>
                <w:webHidden/>
              </w:rPr>
              <w:fldChar w:fldCharType="separate"/>
            </w:r>
            <w:r>
              <w:rPr>
                <w:noProof/>
                <w:webHidden/>
              </w:rPr>
              <w:t>87</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30" w:history="1">
            <w:r>
              <w:rPr>
                <w:rStyle w:val="Hyperlink"/>
                <w:rFonts w:ascii="Trebuchet MS" w:eastAsia="Times New Roman" w:hAnsi="Trebuchet MS" w:cs="Arial"/>
                <w:noProof/>
                <w:lang w:val="ro-RO"/>
              </w:rPr>
              <w:t>Anexa 4 - Consimțământ privind prelucrarea datelor cu caracter personal</w:t>
            </w:r>
            <w:r>
              <w:rPr>
                <w:noProof/>
                <w:webHidden/>
              </w:rPr>
              <w:tab/>
            </w:r>
            <w:r>
              <w:rPr>
                <w:noProof/>
                <w:webHidden/>
              </w:rPr>
              <w:fldChar w:fldCharType="begin"/>
            </w:r>
            <w:r>
              <w:rPr>
                <w:noProof/>
                <w:webHidden/>
              </w:rPr>
              <w:instrText xml:space="preserve"> PAGEREF _Toc41298530 \h </w:instrText>
            </w:r>
            <w:r>
              <w:rPr>
                <w:noProof/>
                <w:webHidden/>
              </w:rPr>
            </w:r>
            <w:r>
              <w:rPr>
                <w:noProof/>
                <w:webHidden/>
              </w:rPr>
              <w:fldChar w:fldCharType="separate"/>
            </w:r>
            <w:r>
              <w:rPr>
                <w:noProof/>
                <w:webHidden/>
              </w:rPr>
              <w:t>89</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31" w:history="1">
            <w:r>
              <w:rPr>
                <w:rStyle w:val="Hyperlink"/>
                <w:rFonts w:ascii="Trebuchet MS" w:eastAsia="Times New Roman" w:hAnsi="Trebuchet MS" w:cs="Arial"/>
                <w:noProof/>
                <w:lang w:val="ro-RO"/>
              </w:rPr>
              <w:t>Anexa 5- BUGETUL FISEI DE PROIECT</w:t>
            </w:r>
            <w:r>
              <w:rPr>
                <w:noProof/>
                <w:webHidden/>
              </w:rPr>
              <w:tab/>
            </w:r>
            <w:r>
              <w:rPr>
                <w:noProof/>
                <w:webHidden/>
              </w:rPr>
              <w:fldChar w:fldCharType="begin"/>
            </w:r>
            <w:r>
              <w:rPr>
                <w:noProof/>
                <w:webHidden/>
              </w:rPr>
              <w:instrText xml:space="preserve"> PAGEREF _Toc41298531 \h </w:instrText>
            </w:r>
            <w:r>
              <w:rPr>
                <w:noProof/>
                <w:webHidden/>
              </w:rPr>
            </w:r>
            <w:r>
              <w:rPr>
                <w:noProof/>
                <w:webHidden/>
              </w:rPr>
              <w:fldChar w:fldCharType="separate"/>
            </w:r>
            <w:r>
              <w:rPr>
                <w:noProof/>
                <w:webHidden/>
              </w:rPr>
              <w:t>90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32" w:history="1">
            <w:r>
              <w:rPr>
                <w:rStyle w:val="Hyperlink"/>
                <w:rFonts w:ascii="Trebuchet MS" w:eastAsia="Times New Roman" w:hAnsi="Trebuchet MS" w:cs="Arial"/>
                <w:noProof/>
                <w:lang w:val="ro-RO"/>
              </w:rPr>
              <w:t>Anexa 6 Acord de parteneriat</w:t>
            </w:r>
            <w:r>
              <w:rPr>
                <w:noProof/>
                <w:webHidden/>
              </w:rPr>
              <w:tab/>
            </w:r>
            <w:r>
              <w:rPr>
                <w:noProof/>
                <w:webHidden/>
              </w:rPr>
              <w:fldChar w:fldCharType="begin"/>
            </w:r>
            <w:r>
              <w:rPr>
                <w:noProof/>
                <w:webHidden/>
              </w:rPr>
              <w:instrText xml:space="preserve"> PAGEREF _Toc41298532 \h </w:instrText>
            </w:r>
            <w:r>
              <w:rPr>
                <w:noProof/>
                <w:webHidden/>
              </w:rPr>
            </w:r>
            <w:r>
              <w:rPr>
                <w:noProof/>
                <w:webHidden/>
              </w:rPr>
              <w:fldChar w:fldCharType="separate"/>
            </w:r>
            <w:r>
              <w:rPr>
                <w:noProof/>
                <w:webHidden/>
              </w:rPr>
              <w:t>93</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33" w:history="1">
            <w:r>
              <w:rPr>
                <w:rStyle w:val="Hyperlink"/>
                <w:rFonts w:ascii="Trebuchet MS" w:eastAsia="Times New Roman" w:hAnsi="Trebuchet MS" w:cs="Arial"/>
                <w:noProof/>
                <w:lang w:val="ro-RO"/>
              </w:rPr>
              <w:t>Anexa 7 Declaraţie privind eligibilitatea TVA</w:t>
            </w:r>
            <w:r>
              <w:rPr>
                <w:noProof/>
                <w:webHidden/>
              </w:rPr>
              <w:tab/>
            </w:r>
            <w:r>
              <w:rPr>
                <w:noProof/>
                <w:webHidden/>
              </w:rPr>
              <w:fldChar w:fldCharType="begin"/>
            </w:r>
            <w:r>
              <w:rPr>
                <w:noProof/>
                <w:webHidden/>
              </w:rPr>
              <w:instrText xml:space="preserve"> PAGEREF _Toc41298533 \h </w:instrText>
            </w:r>
            <w:r>
              <w:rPr>
                <w:noProof/>
                <w:webHidden/>
              </w:rPr>
            </w:r>
            <w:r>
              <w:rPr>
                <w:noProof/>
                <w:webHidden/>
              </w:rPr>
              <w:fldChar w:fldCharType="separate"/>
            </w:r>
            <w:r>
              <w:rPr>
                <w:noProof/>
                <w:webHidden/>
              </w:rPr>
              <w:t>102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34" w:history="1">
            <w:r>
              <w:rPr>
                <w:rStyle w:val="Hyperlink"/>
                <w:rFonts w:ascii="Trebuchet MS" w:eastAsia="Times New Roman" w:hAnsi="Trebuchet MS" w:cs="Arial"/>
                <w:noProof/>
                <w:lang w:val="ro-RO"/>
              </w:rPr>
              <w:t>Anexa 8 Grila de verificare CAE</w:t>
            </w:r>
            <w:r>
              <w:rPr>
                <w:noProof/>
                <w:webHidden/>
              </w:rPr>
              <w:tab/>
            </w:r>
            <w:r>
              <w:rPr>
                <w:noProof/>
                <w:webHidden/>
              </w:rPr>
              <w:fldChar w:fldCharType="begin"/>
            </w:r>
            <w:r>
              <w:rPr>
                <w:noProof/>
                <w:webHidden/>
              </w:rPr>
              <w:instrText xml:space="preserve"> PAGEREF _Toc41298534 \h </w:instrText>
            </w:r>
            <w:r>
              <w:rPr>
                <w:noProof/>
                <w:webHidden/>
              </w:rPr>
            </w:r>
            <w:r>
              <w:rPr>
                <w:noProof/>
                <w:webHidden/>
              </w:rPr>
              <w:fldChar w:fldCharType="separate"/>
            </w:r>
            <w:r>
              <w:rPr>
                <w:noProof/>
                <w:webHidden/>
              </w:rPr>
              <w:t>105</w:t>
            </w:r>
            <w:r>
              <w:rPr>
                <w:noProof/>
                <w:webHidden/>
              </w:rPr>
              <w:fldChar w:fldCharType="end"/>
            </w:r>
          </w:hyperlink>
        </w:p>
        <w:p>
          <w:pPr>
            <w:pStyle w:val="TOC2"/>
            <w:rPr>
              <w:rFonts w:asciiTheme="minorHAnsi" w:eastAsiaTheme="minorEastAsia" w:hAnsiTheme="minorHAnsi" w:cstheme="minorBidi"/>
              <w:noProof/>
              <w:lang w:val="ro-RO" w:eastAsia="ro-RO"/>
            </w:rPr>
          </w:pPr>
          <w:hyperlink w:anchor="_Toc41298535" w:history="1">
            <w:r>
              <w:rPr>
                <w:rStyle w:val="Hyperlink"/>
                <w:rFonts w:ascii="Trebuchet MS" w:eastAsia="Times New Roman" w:hAnsi="Trebuchet MS" w:cs="Arial"/>
                <w:noProof/>
                <w:lang w:val="ro-RO"/>
              </w:rPr>
              <w:t xml:space="preserve">Anexa 9 </w:t>
            </w:r>
            <w:r>
              <w:rPr>
                <w:rStyle w:val="Hyperlink"/>
                <w:rFonts w:ascii="Trebuchet MS" w:eastAsia="Times New Roman" w:hAnsi="Trebuchet MS" w:cs="Calibri"/>
                <w:noProof/>
                <w:lang w:val="ro-RO"/>
              </w:rPr>
              <w:t>Grila de verificare ETF</w:t>
            </w:r>
            <w:r>
              <w:rPr>
                <w:noProof/>
                <w:webHidden/>
              </w:rPr>
              <w:tab/>
            </w:r>
            <w:r>
              <w:rPr>
                <w:noProof/>
                <w:webHidden/>
              </w:rPr>
              <w:fldChar w:fldCharType="begin"/>
            </w:r>
            <w:r>
              <w:rPr>
                <w:noProof/>
                <w:webHidden/>
              </w:rPr>
              <w:instrText xml:space="preserve"> PAGEREF _Toc41298535 \h </w:instrText>
            </w:r>
            <w:r>
              <w:rPr>
                <w:noProof/>
                <w:webHidden/>
              </w:rPr>
            </w:r>
            <w:r>
              <w:rPr>
                <w:noProof/>
                <w:webHidden/>
              </w:rPr>
              <w:fldChar w:fldCharType="separate"/>
            </w:r>
            <w:r>
              <w:rPr>
                <w:noProof/>
                <w:webHidden/>
              </w:rPr>
              <w:t>107</w:t>
            </w:r>
            <w:r>
              <w:rPr>
                <w:noProof/>
                <w:webHidden/>
              </w:rPr>
              <w:fldChar w:fldCharType="end"/>
            </w:r>
          </w:hyperlink>
        </w:p>
        <w:p>
          <w:pPr>
            <w:spacing w:line="240" w:lineRule="auto"/>
            <w:rPr>
              <w:rFonts w:ascii="Trebuchet MS" w:hAnsi="Trebuchet MS"/>
            </w:rPr>
          </w:pPr>
          <w:r>
            <w:rPr>
              <w:rFonts w:ascii="Trebuchet MS" w:hAnsi="Trebuchet MS"/>
              <w:b/>
              <w:bCs/>
            </w:rPr>
            <w:fldChar w:fldCharType="end"/>
          </w:r>
        </w:p>
      </w:sdtContent>
    </w:sdt>
    <w:p>
      <w:pPr>
        <w:spacing w:after="120" w:line="240" w:lineRule="auto"/>
        <w:jc w:val="both"/>
        <w:rPr>
          <w:rFonts w:ascii="Trebuchet MS" w:hAnsi="Trebuchet MS" w:cs="Calibri"/>
          <w:lang w:val="ro-RO"/>
        </w:rPr>
      </w:pPr>
    </w:p>
    <w:p>
      <w:pPr>
        <w:pStyle w:val="TOC1"/>
        <w:spacing w:line="240" w:lineRule="auto"/>
        <w:rPr>
          <w:b w:val="0"/>
        </w:rPr>
      </w:pPr>
      <w:r>
        <w:rPr>
          <w:rFonts w:cs="Calibri"/>
          <w:noProof w:val="0"/>
        </w:rPr>
        <w:fldChar w:fldCharType="begin"/>
      </w:r>
      <w:r>
        <w:rPr>
          <w:rFonts w:cs="Calibri"/>
          <w:noProof w:val="0"/>
        </w:rPr>
        <w:instrText xml:space="preserve"> TOC \o "1-3" \h \z \u </w:instrText>
      </w:r>
      <w:r>
        <w:rPr>
          <w:rFonts w:cs="Calibri"/>
          <w:noProof w:val="0"/>
        </w:rPr>
        <w:fldChar w:fldCharType="separate"/>
      </w:r>
    </w:p>
    <w:p>
      <w:pPr>
        <w:spacing w:line="240" w:lineRule="auto"/>
        <w:rPr>
          <w:rFonts w:ascii="Trebuchet MS" w:hAnsi="Trebuchet MS"/>
        </w:rPr>
      </w:pPr>
    </w:p>
    <w:p>
      <w:pPr>
        <w:spacing w:line="240" w:lineRule="auto"/>
        <w:rPr>
          <w:rFonts w:ascii="Trebuchet MS" w:hAnsi="Trebuchet MS"/>
        </w:rPr>
      </w:pPr>
    </w:p>
    <w:p>
      <w:pPr>
        <w:spacing w:line="240" w:lineRule="auto"/>
        <w:rPr>
          <w:rFonts w:ascii="Trebuchet MS" w:hAnsi="Trebuchet MS"/>
        </w:rPr>
      </w:pPr>
    </w:p>
    <w:p>
      <w:pPr>
        <w:spacing w:line="240" w:lineRule="auto"/>
        <w:rPr>
          <w:rFonts w:ascii="Trebuchet MS" w:hAnsi="Trebuchet MS"/>
        </w:rPr>
      </w:pPr>
    </w:p>
    <w:p>
      <w:pPr>
        <w:spacing w:line="240" w:lineRule="auto"/>
        <w:rPr>
          <w:rFonts w:ascii="Trebuchet MS" w:hAnsi="Trebuchet MS"/>
        </w:rPr>
      </w:pPr>
    </w:p>
    <w:p>
      <w:pPr>
        <w:spacing w:line="240" w:lineRule="auto"/>
        <w:rPr>
          <w:rFonts w:ascii="Trebuchet MS" w:hAnsi="Trebuchet MS"/>
        </w:rPr>
      </w:pPr>
    </w:p>
    <w:p>
      <w:pPr>
        <w:spacing w:line="240" w:lineRule="auto"/>
        <w:rPr>
          <w:rFonts w:ascii="Trebuchet MS" w:hAnsi="Trebuchet MS"/>
        </w:rPr>
      </w:pPr>
    </w:p>
    <w:p>
      <w:pPr>
        <w:spacing w:line="240" w:lineRule="auto"/>
        <w:rPr>
          <w:rFonts w:ascii="Trebuchet MS" w:eastAsiaTheme="majorEastAsia" w:hAnsi="Trebuchet MS" w:cs="Calibri"/>
          <w:b/>
          <w:bCs/>
          <w:color w:val="365F91" w:themeColor="accent1" w:themeShade="BF"/>
          <w:lang w:val="ro-RO"/>
        </w:rPr>
      </w:pPr>
      <w:bookmarkStart w:id="1" w:name="_Toc22832094"/>
      <w:r>
        <w:rPr>
          <w:rFonts w:ascii="Trebuchet MS" w:hAnsi="Trebuchet MS" w:cs="Calibri"/>
          <w:lang w:val="ro-RO"/>
        </w:rPr>
        <w:br w:type="page"/>
      </w:r>
    </w:p>
    <w:p>
      <w:pPr>
        <w:pStyle w:val="Heading1"/>
        <w:spacing w:after="120" w:line="240" w:lineRule="auto"/>
        <w:jc w:val="center"/>
        <w:rPr>
          <w:rFonts w:ascii="Trebuchet MS" w:hAnsi="Trebuchet MS" w:cs="Calibri"/>
          <w:sz w:val="22"/>
          <w:szCs w:val="22"/>
          <w:lang w:val="ro-RO"/>
        </w:rPr>
      </w:pP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rPr>
      </w:pPr>
      <w:bookmarkStart w:id="2" w:name="_Toc41298474"/>
      <w:bookmarkEnd w:id="1"/>
      <w:r>
        <w:rPr>
          <w:rFonts w:ascii="Trebuchet MS" w:hAnsi="Trebuchet MS" w:cs="Arial"/>
          <w:b/>
          <w:sz w:val="28"/>
          <w:szCs w:val="28"/>
        </w:rPr>
        <w:t xml:space="preserve">CAPITOLUL 1 </w:t>
      </w:r>
      <w:r>
        <w:rPr>
          <w:rFonts w:ascii="Trebuchet MS" w:hAnsi="Trebuchet MS" w:cs="Calibri"/>
          <w:b/>
          <w:lang w:val="ro-RO"/>
        </w:rPr>
        <w:t>Abrevieri</w:t>
      </w:r>
      <w:bookmarkEnd w:id="2"/>
    </w:p>
    <w:tbl>
      <w:tblPr>
        <w:tblW w:w="0" w:type="auto"/>
        <w:tblCellMar>
          <w:left w:w="0" w:type="dxa"/>
          <w:right w:w="0" w:type="dxa"/>
        </w:tblCellMar>
        <w:tblLook w:val="04A0" w:firstRow="1" w:lastRow="0" w:firstColumn="1" w:lastColumn="0" w:noHBand="0" w:noVBand="1"/>
      </w:tblPr>
      <w:tblGrid>
        <w:gridCol w:w="2166"/>
        <w:gridCol w:w="7566"/>
      </w:tblGrid>
      <w:tr>
        <w:trPr>
          <w:trHeight w:val="417"/>
        </w:trPr>
        <w:tc>
          <w:tcPr>
            <w:tcW w:w="2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AM</w:t>
            </w:r>
          </w:p>
        </w:tc>
        <w:tc>
          <w:tcPr>
            <w:tcW w:w="7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Autoritate de Management</w:t>
            </w:r>
          </w:p>
        </w:tc>
      </w:tr>
      <w:tr>
        <w:trPr>
          <w:trHeight w:val="368"/>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AM POR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Autoritatea de Management pentru Programul Operațional Regional</w:t>
            </w:r>
          </w:p>
        </w:tc>
      </w:tr>
      <w:tr>
        <w:trPr>
          <w:trHeight w:val="465"/>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ADR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Agenția de Dezvoltare Regională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APL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Administrație Publică Locală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CAE</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Conformitate administrativă și eligibilitate</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CCS restrâns</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Comitet Comun de Selecție restrâns</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CCI</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Centre Comunitare Integrate</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rPr>
              <w:t>CD GAL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noProof/>
              </w:rPr>
              <w:t xml:space="preserve">Comitetul </w:t>
            </w:r>
            <w:r>
              <w:rPr>
                <w:rFonts w:ascii="Trebuchet MS" w:hAnsi="Trebuchet MS"/>
              </w:rPr>
              <w:t>Director GAL</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CS</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 xml:space="preserve">Comitet de Selecție  </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DLRC</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Dezvoltare Locală plasată sub Responsabilitatea Comunității</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ETF</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Evaluare tehnico-financiară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GAL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lang w:val="en-US"/>
              </w:rPr>
              <w:t>Grup de AcțiuneLocală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color w:val="000000"/>
                <w:lang w:val="en-US"/>
              </w:rPr>
              <w:t>GAL Botosani Pentru Viitor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color w:val="000000"/>
              </w:rPr>
              <w:t>Asociația Grupul de Acțiune Locală Botosani pentru Viitor</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hAnsi="Trebuchet MS" w:cs="Calibri"/>
                <w:sz w:val="22"/>
                <w:szCs w:val="22"/>
                <w:shd w:val="clear" w:color="auto" w:fill="FFFFFF"/>
              </w:rPr>
              <w:t>MLPDA</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hAnsi="Trebuchet MS" w:cs="Calibri"/>
                <w:sz w:val="22"/>
                <w:szCs w:val="22"/>
                <w:shd w:val="clear" w:color="auto" w:fill="FFFFFF"/>
              </w:rPr>
              <w:t xml:space="preserve">Ministerul Lucrărilor Publice, Dezvoltării și Administrației </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rPr>
              <w:t>MFE</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rPr>
              <w:t>Ministerul Fondurilor Europene</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hAnsi="Trebuchet MS" w:cs="Calibri"/>
                <w:sz w:val="22"/>
                <w:szCs w:val="22"/>
              </w:rPr>
              <w:t>MySMIS 2014</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hAnsi="Trebuchet MS" w:cs="Calibri"/>
                <w:sz w:val="22"/>
                <w:szCs w:val="22"/>
              </w:rPr>
              <w:t xml:space="preserve">Aplicația informatică prin care solicitanții transmit cererile de finanțare </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POR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Programul Operațional Regional</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SDL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Strategie de Dezvoltare Locală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ZUM</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Zonă Urbană Marginalizată</w:t>
            </w:r>
          </w:p>
        </w:tc>
      </w:tr>
    </w:tbl>
    <w:p>
      <w:pPr>
        <w:pStyle w:val="Heading2"/>
        <w:spacing w:before="0" w:after="120" w:line="240" w:lineRule="auto"/>
        <w:jc w:val="both"/>
        <w:rPr>
          <w:rFonts w:ascii="Trebuchet MS" w:hAnsi="Trebuchet MS" w:cs="Calibri"/>
          <w:color w:val="auto"/>
          <w:sz w:val="22"/>
          <w:szCs w:val="22"/>
          <w:lang w:val="ro-RO"/>
        </w:rPr>
      </w:pPr>
    </w:p>
    <w:p>
      <w:pPr>
        <w:spacing w:line="240" w:lineRule="auto"/>
        <w:rPr>
          <w:rFonts w:ascii="Trebuchet MS" w:hAnsi="Trebuchet MS"/>
          <w:lang w:val="ro-RO"/>
        </w:rPr>
      </w:pPr>
      <w:r>
        <w:rPr>
          <w:rFonts w:ascii="Trebuchet MS" w:hAnsi="Trebuchet MS"/>
          <w:lang w:val="ro-RO"/>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rPr>
      </w:pPr>
      <w:bookmarkStart w:id="3" w:name="_Toc9866080"/>
      <w:bookmarkStart w:id="4" w:name="_Toc41298475"/>
      <w:r>
        <w:rPr>
          <w:rFonts w:ascii="Trebuchet MS" w:hAnsi="Trebuchet MS" w:cs="Arial"/>
          <w:b/>
          <w:sz w:val="28"/>
          <w:szCs w:val="28"/>
        </w:rPr>
        <w:lastRenderedPageBreak/>
        <w:t>CAPITOLUL 2</w:t>
      </w:r>
      <w:bookmarkEnd w:id="3"/>
      <w:r>
        <w:rPr>
          <w:rFonts w:ascii="Trebuchet MS" w:hAnsi="Trebuchet MS" w:cs="Arial"/>
          <w:b/>
          <w:sz w:val="28"/>
          <w:szCs w:val="28"/>
        </w:rPr>
        <w:t xml:space="preserve"> </w:t>
      </w:r>
      <w:r>
        <w:rPr>
          <w:rFonts w:ascii="Trebuchet MS" w:hAnsi="Trebuchet MS" w:cs="Calibri"/>
          <w:b/>
          <w:lang w:val="ro-RO"/>
        </w:rPr>
        <w:t>Informații generale</w:t>
      </w:r>
      <w:bookmarkEnd w:id="4"/>
    </w:p>
    <w:p>
      <w:pPr>
        <w:pStyle w:val="Heading2"/>
        <w:spacing w:before="0" w:line="240" w:lineRule="auto"/>
        <w:jc w:val="both"/>
        <w:rPr>
          <w:rFonts w:ascii="Trebuchet MS" w:hAnsi="Trebuchet MS"/>
          <w:i/>
          <w:noProof/>
          <w:color w:val="auto"/>
        </w:rPr>
      </w:pPr>
      <w:bookmarkStart w:id="5" w:name="_Toc489006345"/>
      <w:bookmarkStart w:id="6" w:name="_Toc22832096"/>
    </w:p>
    <w:p>
      <w:pPr>
        <w:pStyle w:val="Heading2"/>
        <w:spacing w:before="0" w:line="240" w:lineRule="auto"/>
        <w:jc w:val="both"/>
        <w:rPr>
          <w:rFonts w:ascii="Trebuchet MS" w:hAnsi="Trebuchet MS"/>
          <w:i/>
          <w:noProof/>
          <w:color w:val="auto"/>
        </w:rPr>
      </w:pPr>
      <w:bookmarkStart w:id="7" w:name="_Toc41298476"/>
      <w:r>
        <w:rPr>
          <w:rFonts w:ascii="Trebuchet MS" w:hAnsi="Trebuchet MS"/>
          <w:i/>
          <w:noProof/>
          <w:color w:val="auto"/>
        </w:rPr>
        <w:t>Subcapitolul 2.1 Introducere</w:t>
      </w:r>
      <w:bookmarkEnd w:id="7"/>
    </w:p>
    <w:p>
      <w:pPr>
        <w:spacing w:after="0" w:line="240" w:lineRule="auto"/>
        <w:rPr>
          <w:rFonts w:ascii="Trebuchet MS" w:hAnsi="Trebuchet MS"/>
        </w:rPr>
      </w:pPr>
    </w:p>
    <w:bookmarkEnd w:id="5"/>
    <w:bookmarkEnd w:id="6"/>
    <w:p>
      <w:pPr>
        <w:spacing w:after="120" w:line="240" w:lineRule="auto"/>
        <w:jc w:val="both"/>
        <w:rPr>
          <w:rFonts w:ascii="Trebuchet MS" w:hAnsi="Trebuchet MS" w:cs="Calibri"/>
          <w:lang w:val="ro-RO"/>
        </w:rPr>
      </w:pPr>
      <w:r>
        <w:rPr>
          <w:rFonts w:ascii="Trebuchet MS" w:hAnsi="Trebuchet MS" w:cs="Calibri"/>
          <w:lang w:val="ro-RO"/>
        </w:rPr>
        <w:t xml:space="preserve">Acest document reprezintă un îndrumar pentru APELURILE DE FIȘE DE PROIECTE  POR  lansate de Asociatia  GAL Botosani pentru Viitor Iîn cadrul   SDL ,  AXA PRIORITARĂ 9: </w:t>
      </w:r>
      <w:r>
        <w:rPr>
          <w:rFonts w:ascii="Trebuchet MS" w:hAnsi="Trebuchet MS" w:cs="Calibri"/>
          <w:b/>
          <w:i/>
          <w:lang w:val="ro-RO"/>
        </w:rPr>
        <w:t>Sprijinirea regenerării economice și sociale a comunităților defavorizate din mediul urban</w:t>
      </w:r>
      <w:r>
        <w:rPr>
          <w:rFonts w:ascii="Trebuchet MS" w:hAnsi="Trebuchet MS" w:cs="Calibri"/>
          <w:lang w:val="ro-RO"/>
        </w:rPr>
        <w:t xml:space="preserve"> în cadrul Programului Operaţional Regional (POR) 2014-2020, Prioritatea de Investitii 9.1 - DEZVOLTARE LOCALĂ SUB RESPONSABILITATEA COMUNITĂȚII (DLRC),  adresandu-se  beneficiarilor eligibili în cadrul Axei prioritare 9, Prioritatea de investiții 9.1, pentru FIȘELE DE PROIECT ce vor fi depuse la GAL Botosani Pentru Viitor in scopul implementării  Strategiei de Dezvoltare Locală a Grupului de Acțiune Locală Botosani Pentru Viitor .</w:t>
      </w:r>
    </w:p>
    <w:p>
      <w:pPr>
        <w:spacing w:after="120" w:line="240" w:lineRule="auto"/>
        <w:jc w:val="both"/>
        <w:rPr>
          <w:rFonts w:ascii="Trebuchet MS" w:hAnsi="Trebuchet MS" w:cs="Calibri"/>
          <w:lang w:val="ro-RO"/>
        </w:rPr>
      </w:pPr>
      <w:r>
        <w:rPr>
          <w:rFonts w:ascii="Trebuchet MS" w:hAnsi="Trebuchet MS" w:cs="Calibri"/>
          <w:lang w:val="ro-RO"/>
        </w:rPr>
        <w:t>Pentru o mai bună înţelegere a ghidului, consultaţi textul integral al Strategiei de Dezvoltare Locala a GAL Botosani Pentru Viitor, disponibila pe site-ul GAL Botosani Pentru Viitor, www.galbotosani.ro, precum şilegislaţianaţionalăşi comunitară de referință.</w:t>
      </w:r>
    </w:p>
    <w:p>
      <w:pPr>
        <w:spacing w:after="120" w:line="240" w:lineRule="auto"/>
        <w:jc w:val="both"/>
        <w:rPr>
          <w:rFonts w:ascii="Trebuchet MS" w:hAnsi="Trebuchet MS" w:cs="Calibri"/>
          <w:lang w:val="ro-RO"/>
        </w:rPr>
      </w:pPr>
      <w:r>
        <w:rPr>
          <w:rFonts w:ascii="Trebuchet MS" w:hAnsi="Trebuchet MS" w:cs="Calibri"/>
          <w:lang w:val="ro-RO"/>
        </w:rPr>
        <w:t>Vă recomandăm ca înainte de a începe completarea FIȘEI DE PROIECTE  POR ce se incadrează in  AXA PRIORITARĂ 9: Sprijinirea regenerării economice și sociale a comunităților defavorizate din mediul urban, PI 9.1- DLRC, să vă asiguraţi că aţi parcurs toate informaţiile prezentate în acest document.</w:t>
      </w:r>
    </w:p>
    <w:p>
      <w:pPr>
        <w:spacing w:after="120" w:line="240" w:lineRule="auto"/>
        <w:jc w:val="both"/>
        <w:rPr>
          <w:rFonts w:ascii="Trebuchet MS" w:hAnsi="Trebuchet MS" w:cs="Calibri"/>
          <w:lang w:val="ro-RO"/>
        </w:rPr>
      </w:pPr>
      <w:r>
        <w:rPr>
          <w:rFonts w:ascii="Trebuchet MS" w:hAnsi="Trebuchet MS" w:cs="Calibri"/>
          <w:lang w:val="ro-RO"/>
        </w:rPr>
        <w:t xml:space="preserve">Vă recomandăm ca până la data limită de depunere a fișelor de proiect, să consultaţi periodic pagina de internet www.galbotosani.ropentru a urmări eventualele modificări ale condiţiilor specifice, precum și alte comunicări / clarificări. </w:t>
      </w:r>
    </w:p>
    <w:p>
      <w:pPr>
        <w:spacing w:after="120" w:line="240" w:lineRule="auto"/>
        <w:jc w:val="both"/>
        <w:rPr>
          <w:rFonts w:ascii="Trebuchet MS" w:hAnsi="Trebuchet MS" w:cs="Calibri"/>
          <w:lang w:val="ro-RO"/>
        </w:rPr>
      </w:pPr>
      <w:r>
        <w:rPr>
          <w:rFonts w:ascii="Trebuchet MS" w:hAnsi="Trebuchet MS" w:cs="Calibri"/>
          <w:lang w:val="ro-RO"/>
        </w:rPr>
        <w:t xml:space="preserve">Aspectele cuprinse în acest document ce derivă din Programul Operațional Regional 2014-2020, din documentul cu titlul </w:t>
      </w:r>
      <w:r>
        <w:rPr>
          <w:rFonts w:ascii="Trebuchet MS" w:hAnsi="Trebuchet MS" w:cs="Calibri"/>
          <w:i/>
          <w:lang w:val="ro-RO"/>
        </w:rPr>
        <w:t>Orientări pentru Grupurile de Acțiune Locală privind implementarea Strategiilor de Dezvoltare Locală (la nivelul orașelor cu peste 20.000 locuitori)</w:t>
      </w:r>
      <w:r>
        <w:rPr>
          <w:rFonts w:ascii="Trebuchet MS" w:hAnsi="Trebuchet MS" w:cs="Calibri"/>
          <w:lang w:val="ro-RO"/>
        </w:rPr>
        <w:t xml:space="preserve"> și modul său de implementare, vor fi interpretate exclusiv de către</w:t>
      </w:r>
      <w:r>
        <w:rPr>
          <w:rFonts w:ascii="Trebuchet MS" w:hAnsi="Trebuchet MS" w:cs="Calibri"/>
          <w:color w:val="4F81BD" w:themeColor="accent1"/>
          <w:lang w:val="ro-RO"/>
        </w:rPr>
        <w:t xml:space="preserve"> </w:t>
      </w:r>
      <w:r>
        <w:rPr>
          <w:rFonts w:ascii="Trebuchet MS" w:hAnsi="Trebuchet MS" w:cs="Calibri"/>
          <w:color w:val="000000" w:themeColor="text1"/>
          <w:lang w:val="ro-RO"/>
        </w:rPr>
        <w:t>Ministerul Lucrarilor Publice, Dezvoltarii si Administratiei,</w:t>
      </w:r>
      <w:r>
        <w:rPr>
          <w:rFonts w:ascii="Trebuchet MS" w:hAnsi="Trebuchet MS" w:cs="Calibri"/>
          <w:lang w:val="ro-RO"/>
        </w:rPr>
        <w:t xml:space="preserve"> cu respectarea legislației în vigoare și folosind metoda de interpretare sistematică.</w:t>
      </w:r>
    </w:p>
    <w:p>
      <w:pPr>
        <w:spacing w:after="0" w:line="240" w:lineRule="auto"/>
        <w:jc w:val="both"/>
        <w:rPr>
          <w:rFonts w:ascii="Trebuchet MS" w:hAnsi="Trebuchet MS" w:cs="Calibri"/>
          <w:lang w:val="ro-RO"/>
        </w:rPr>
      </w:pPr>
    </w:p>
    <w:p>
      <w:pPr>
        <w:pStyle w:val="Heading2"/>
        <w:spacing w:before="0" w:line="240" w:lineRule="auto"/>
        <w:jc w:val="both"/>
        <w:rPr>
          <w:rFonts w:ascii="Trebuchet MS" w:hAnsi="Trebuchet MS"/>
          <w:i/>
          <w:noProof/>
          <w:color w:val="auto"/>
        </w:rPr>
      </w:pPr>
      <w:bookmarkStart w:id="8" w:name="_Toc41298477"/>
      <w:bookmarkStart w:id="9" w:name="_Toc22838540"/>
      <w:r>
        <w:rPr>
          <w:rFonts w:ascii="Trebuchet MS" w:hAnsi="Trebuchet MS"/>
          <w:i/>
          <w:noProof/>
          <w:color w:val="auto"/>
        </w:rPr>
        <w:t>Subcapitolul 2.2 Descrierea Strategiei de Dezvoltare Locală a GAL Botosani pentru Viitor</w:t>
      </w:r>
      <w:bookmarkEnd w:id="8"/>
    </w:p>
    <w:p>
      <w:pPr>
        <w:spacing w:after="0" w:line="240" w:lineRule="auto"/>
        <w:rPr>
          <w:rFonts w:ascii="Trebuchet MS" w:hAnsi="Trebuchet MS"/>
        </w:rPr>
      </w:pPr>
    </w:p>
    <w:bookmarkEnd w:id="9"/>
    <w:p>
      <w:pPr>
        <w:spacing w:line="240" w:lineRule="auto"/>
        <w:jc w:val="both"/>
        <w:rPr>
          <w:rFonts w:ascii="Trebuchet MS" w:hAnsi="Trebuchet MS"/>
        </w:rPr>
      </w:pPr>
      <w:r>
        <w:rPr>
          <w:rFonts w:ascii="Trebuchet MS" w:hAnsi="Trebuchet MS"/>
          <w:b/>
        </w:rPr>
        <w:t xml:space="preserve">Obiectivul general </w:t>
      </w:r>
      <w:r>
        <w:rPr>
          <w:rFonts w:ascii="Trebuchet MS" w:eastAsia="Times New Roman" w:hAnsi="Trebuchet MS"/>
          <w:b/>
          <w:lang w:val="ro-RO"/>
        </w:rPr>
        <w:t xml:space="preserve">al SDL </w:t>
      </w:r>
      <w:r>
        <w:rPr>
          <w:rFonts w:ascii="Trebuchet MS" w:eastAsia="Times New Roman" w:hAnsi="Trebuchet MS"/>
          <w:bCs/>
          <w:lang w:val="ro-RO"/>
        </w:rPr>
        <w:t>este reducerea numarului de persoane aflate in risc de saracie sau excluziune sociala in ZUM, alaturi de imbunatatirea calitatii vietii, cresterea coeziunii sociale, imbunatatirea mediului de viata si cresterea economica in teritoriul SDL</w:t>
      </w:r>
      <w:r>
        <w:rPr>
          <w:rFonts w:ascii="Trebuchet MS" w:hAnsi="Trebuchet MS"/>
        </w:rPr>
        <w:t>.</w:t>
      </w:r>
    </w:p>
    <w:p>
      <w:pPr>
        <w:spacing w:after="0" w:line="240" w:lineRule="auto"/>
        <w:jc w:val="both"/>
        <w:rPr>
          <w:rFonts w:ascii="Trebuchet MS" w:eastAsia="Times New Roman" w:hAnsi="Trebuchet MS"/>
          <w:bCs/>
          <w:lang w:val="ro-RO"/>
        </w:rPr>
      </w:pPr>
      <w:r>
        <w:rPr>
          <w:rFonts w:ascii="Trebuchet MS" w:eastAsia="Times New Roman" w:hAnsi="Trebuchet MS"/>
          <w:bCs/>
          <w:lang w:val="ro-RO"/>
        </w:rPr>
        <w:t>Atingerea obiectivului general al SDL va fi realizată prin următoarele obiective specifice:</w:t>
      </w:r>
    </w:p>
    <w:p>
      <w:pPr>
        <w:spacing w:line="240" w:lineRule="auto"/>
        <w:jc w:val="both"/>
        <w:rPr>
          <w:rFonts w:ascii="Trebuchet MS" w:hAnsi="Trebuchet MS"/>
          <w:b/>
        </w:rPr>
      </w:pPr>
      <w:r>
        <w:rPr>
          <w:rFonts w:ascii="Trebuchet MS" w:hAnsi="Trebuchet MS"/>
          <w:b/>
        </w:rPr>
        <w:t>Obiective specifice SDL:</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1</w:t>
      </w:r>
      <w:r>
        <w:rPr>
          <w:rFonts w:ascii="Trebuchet MS" w:hAnsi="Trebuchet MS"/>
          <w:sz w:val="24"/>
          <w:szCs w:val="24"/>
          <w:lang w:val="ro-RO"/>
        </w:rPr>
        <w:t xml:space="preserve"> – Îmbunătățirea infrastructurii rutiere pentru cel puțin 3 străzi în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2</w:t>
      </w:r>
      <w:r>
        <w:rPr>
          <w:rFonts w:ascii="Trebuchet MS" w:hAnsi="Trebuchet MS"/>
          <w:sz w:val="24"/>
          <w:szCs w:val="24"/>
          <w:lang w:val="ro-RO"/>
        </w:rPr>
        <w:t xml:space="preserve"> – Creșterea gradului de siguranță al cetățenilor și îmbunătățirea aspectului peisagistic al teritoriului SDL prin reamenajarea spațiilor publice urbane în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lastRenderedPageBreak/>
        <w:t>Obiectiv Specific 3</w:t>
      </w:r>
      <w:r>
        <w:rPr>
          <w:rFonts w:ascii="Trebuchet MS" w:hAnsi="Trebuchet MS"/>
          <w:sz w:val="24"/>
          <w:szCs w:val="24"/>
          <w:lang w:val="ro-RO"/>
        </w:rPr>
        <w:t xml:space="preserve"> – Îmbunătățirea condițiilor de locuire pentru minimum 100 persoane în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4</w:t>
      </w:r>
      <w:r>
        <w:rPr>
          <w:rFonts w:ascii="Trebuchet MS" w:hAnsi="Trebuchet MS"/>
          <w:sz w:val="24"/>
          <w:szCs w:val="24"/>
          <w:lang w:val="ro-RO"/>
        </w:rPr>
        <w:t xml:space="preserve"> – Creșterea gradului de ocupare prin furnizarea de servicii de ocupare, calificare și angajare pentru 420 de persoane pe o perioadă de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5</w:t>
      </w:r>
      <w:r>
        <w:rPr>
          <w:rFonts w:ascii="Trebuchet MS" w:hAnsi="Trebuchet MS"/>
          <w:sz w:val="24"/>
          <w:szCs w:val="24"/>
          <w:lang w:val="ro-RO"/>
        </w:rPr>
        <w:t xml:space="preserve"> – Creșterea accesului la educație pentru minimum 320 de persoane din comunitățile marginalizate aflate în risc de sărăcie sau excluziune socială, pe o perioadă de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6</w:t>
      </w:r>
      <w:r>
        <w:rPr>
          <w:rFonts w:ascii="Trebuchet MS" w:hAnsi="Trebuchet MS"/>
          <w:sz w:val="24"/>
          <w:szCs w:val="24"/>
          <w:lang w:val="ro-RO"/>
        </w:rPr>
        <w:t xml:space="preserve"> – Dezvoltarea unui sistem de servicii sociale integrate, individualizate axat pe nevoile persoanelor marginalizate pentru cel puțin 840 de persoane, pe o perioadă de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7</w:t>
      </w:r>
      <w:r>
        <w:rPr>
          <w:rFonts w:ascii="Trebuchet MS" w:hAnsi="Trebuchet MS"/>
          <w:sz w:val="24"/>
          <w:szCs w:val="24"/>
          <w:lang w:val="ro-RO"/>
        </w:rPr>
        <w:t xml:space="preserve"> – Îmbunătățirea imaginii zonei și creșterea gradului de coeziune socială pentru peste 500 locuitori din teritoriul SDL, pe o perioadă de 3 ani.</w:t>
      </w:r>
    </w:p>
    <w:p>
      <w:pPr>
        <w:spacing w:after="0" w:line="240" w:lineRule="auto"/>
        <w:jc w:val="both"/>
        <w:rPr>
          <w:rFonts w:ascii="Trebuchet MS" w:hAnsi="Trebuchet MS"/>
          <w:sz w:val="24"/>
          <w:szCs w:val="24"/>
          <w:lang w:val="ro-RO"/>
        </w:rPr>
      </w:pPr>
    </w:p>
    <w:p>
      <w:pPr>
        <w:spacing w:line="240" w:lineRule="auto"/>
        <w:jc w:val="both"/>
        <w:rPr>
          <w:rFonts w:ascii="Trebuchet MS" w:hAnsi="Trebuchet MS"/>
          <w:b/>
          <w:u w:val="single"/>
          <w:lang w:eastAsia="ro-RO"/>
        </w:rPr>
      </w:pPr>
      <w:r>
        <w:rPr>
          <w:rFonts w:ascii="Trebuchet MS" w:hAnsi="Trebuchet MS"/>
          <w:b/>
          <w:u w:val="single"/>
          <w:lang w:eastAsia="ro-RO"/>
        </w:rPr>
        <w:t>Masuri / Actiuni  necesare de întreprins pentru rezolvarea problemelor din  ZUM Centrul Istoric si ZUM parcul Tineretului</w:t>
      </w:r>
    </w:p>
    <w:p>
      <w:pPr>
        <w:spacing w:after="0" w:line="240" w:lineRule="auto"/>
        <w:jc w:val="both"/>
        <w:rPr>
          <w:rFonts w:ascii="Trebuchet MS" w:hAnsi="Trebuchet MS"/>
          <w:b/>
          <w:u w:val="single"/>
          <w:lang w:eastAsia="ro-RO"/>
        </w:rPr>
      </w:pPr>
      <w:r>
        <w:rPr>
          <w:rFonts w:ascii="Trebuchet MS" w:hAnsi="Trebuchet MS"/>
          <w:b/>
          <w:u w:val="single"/>
          <w:lang w:eastAsia="ro-RO"/>
        </w:rPr>
        <w:t>Masuri / Actiuni  necesare de întreprins pentru rezolvarea problemelor din  ZUM  -uri</w:t>
      </w:r>
    </w:p>
    <w:tbl>
      <w:tblPr>
        <w:tblStyle w:val="TableGrid"/>
        <w:tblW w:w="0" w:type="auto"/>
        <w:tblLook w:val="04A0" w:firstRow="1" w:lastRow="0" w:firstColumn="1" w:lastColumn="0" w:noHBand="0" w:noVBand="1"/>
      </w:tblPr>
      <w:tblGrid>
        <w:gridCol w:w="828"/>
        <w:gridCol w:w="3792"/>
        <w:gridCol w:w="2311"/>
        <w:gridCol w:w="2364"/>
      </w:tblGrid>
      <w:tr>
        <w:tc>
          <w:tcPr>
            <w:tcW w:w="828" w:type="dxa"/>
          </w:tcPr>
          <w:p>
            <w:pPr>
              <w:rPr>
                <w:rFonts w:ascii="Trebuchet MS" w:hAnsi="Trebuchet MS"/>
              </w:rPr>
            </w:pPr>
            <w:r>
              <w:rPr>
                <w:rFonts w:ascii="Trebuchet MS" w:hAnsi="Trebuchet MS"/>
              </w:rPr>
              <w:t>Nr crt</w:t>
            </w:r>
          </w:p>
        </w:tc>
        <w:tc>
          <w:tcPr>
            <w:tcW w:w="3792" w:type="dxa"/>
          </w:tcPr>
          <w:p>
            <w:pPr>
              <w:rPr>
                <w:rFonts w:ascii="Trebuchet MS" w:hAnsi="Trebuchet MS"/>
              </w:rPr>
            </w:pPr>
            <w:r>
              <w:rPr>
                <w:rFonts w:ascii="Trebuchet MS" w:hAnsi="Trebuchet MS"/>
              </w:rPr>
              <w:t>Masura/ interventia</w:t>
            </w:r>
          </w:p>
        </w:tc>
        <w:tc>
          <w:tcPr>
            <w:tcW w:w="2311" w:type="dxa"/>
          </w:tcPr>
          <w:p>
            <w:pPr>
              <w:rPr>
                <w:rFonts w:ascii="Trebuchet MS" w:hAnsi="Trebuchet MS"/>
              </w:rPr>
            </w:pPr>
            <w:r>
              <w:rPr>
                <w:rFonts w:ascii="Trebuchet MS" w:hAnsi="Trebuchet MS"/>
              </w:rPr>
              <w:t>Obiectiv specific</w:t>
            </w:r>
          </w:p>
        </w:tc>
        <w:tc>
          <w:tcPr>
            <w:tcW w:w="2311" w:type="dxa"/>
          </w:tcPr>
          <w:p>
            <w:pPr>
              <w:rPr>
                <w:rFonts w:ascii="Trebuchet MS" w:hAnsi="Trebuchet MS"/>
              </w:rPr>
            </w:pPr>
            <w:r>
              <w:rPr>
                <w:rFonts w:ascii="Trebuchet MS" w:hAnsi="Trebuchet MS"/>
              </w:rPr>
              <w:t>Beneficiari</w:t>
            </w:r>
          </w:p>
        </w:tc>
      </w:tr>
      <w:tr>
        <w:tc>
          <w:tcPr>
            <w:tcW w:w="828" w:type="dxa"/>
          </w:tcPr>
          <w:p>
            <w:pPr>
              <w:rPr>
                <w:rFonts w:ascii="Trebuchet MS" w:hAnsi="Trebuchet MS"/>
              </w:rPr>
            </w:pPr>
            <w:r>
              <w:rPr>
                <w:rFonts w:ascii="Trebuchet MS" w:hAnsi="Trebuchet MS"/>
              </w:rPr>
              <w:t>1</w:t>
            </w:r>
          </w:p>
        </w:tc>
        <w:tc>
          <w:tcPr>
            <w:tcW w:w="3792" w:type="dxa"/>
          </w:tcPr>
          <w:p>
            <w:pPr>
              <w:jc w:val="both"/>
              <w:rPr>
                <w:rFonts w:ascii="Trebuchet MS" w:hAnsi="Trebuchet MS"/>
              </w:rPr>
            </w:pPr>
            <w:r>
              <w:rPr>
                <w:rFonts w:ascii="Trebuchet MS" w:hAnsi="Trebuchet MS"/>
                <w:b/>
                <w:color w:val="1F497D" w:themeColor="text2"/>
              </w:rPr>
              <w:t>Măsura 1</w:t>
            </w:r>
            <w:r>
              <w:rPr>
                <w:rFonts w:ascii="Trebuchet MS" w:hAnsi="Trebuchet MS"/>
              </w:rPr>
              <w:t xml:space="preserve"> – Asfaltare străzi în zona de nord a teritoriului SDL</w:t>
            </w:r>
          </w:p>
        </w:tc>
        <w:tc>
          <w:tcPr>
            <w:tcW w:w="2311" w:type="dxa"/>
          </w:tcPr>
          <w:p>
            <w:pPr>
              <w:rPr>
                <w:rFonts w:ascii="Trebuchet MS" w:hAnsi="Trebuchet MS"/>
              </w:rPr>
            </w:pPr>
            <w:r>
              <w:rPr>
                <w:rFonts w:ascii="Trebuchet MS" w:hAnsi="Trebuchet MS"/>
              </w:rPr>
              <w:t xml:space="preserve">OS 1 </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Asfaltare străzi zona din spatele cartierului Împarat Traian</w:t>
            </w:r>
          </w:p>
        </w:tc>
        <w:tc>
          <w:tcPr>
            <w:tcW w:w="2311" w:type="dxa"/>
          </w:tcPr>
          <w:p>
            <w:pPr>
              <w:rPr>
                <w:rFonts w:ascii="Trebuchet MS" w:hAnsi="Trebuchet MS"/>
              </w:rPr>
            </w:pPr>
            <w:r>
              <w:rPr>
                <w:rFonts w:ascii="Trebuchet MS" w:hAnsi="Trebuchet MS"/>
              </w:rPr>
              <w:t>OS 1</w:t>
            </w:r>
          </w:p>
        </w:tc>
        <w:tc>
          <w:tcPr>
            <w:tcW w:w="2311" w:type="dxa"/>
          </w:tcPr>
          <w:p>
            <w:pPr>
              <w:rPr>
                <w:rFonts w:ascii="Trebuchet MS" w:hAnsi="Trebuchet MS"/>
              </w:rPr>
            </w:pPr>
            <w:r>
              <w:rPr>
                <w:rFonts w:ascii="Trebuchet MS" w:hAnsi="Trebuchet MS"/>
              </w:rPr>
              <w:t>Peste 1000 de persoane din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Activități de educație rutieră; concurs desene pe asfalt</w:t>
            </w:r>
          </w:p>
        </w:tc>
        <w:tc>
          <w:tcPr>
            <w:tcW w:w="2311" w:type="dxa"/>
          </w:tcPr>
          <w:p>
            <w:pPr>
              <w:rPr>
                <w:rFonts w:ascii="Trebuchet MS" w:hAnsi="Trebuchet MS"/>
              </w:rPr>
            </w:pPr>
            <w:r>
              <w:rPr>
                <w:rFonts w:ascii="Trebuchet MS" w:hAnsi="Trebuchet MS"/>
              </w:rPr>
              <w:t>OS1</w:t>
            </w:r>
          </w:p>
        </w:tc>
        <w:tc>
          <w:tcPr>
            <w:tcW w:w="2311" w:type="dxa"/>
          </w:tcPr>
          <w:p>
            <w:pPr>
              <w:rPr>
                <w:rFonts w:ascii="Trebuchet MS" w:hAnsi="Trebuchet MS"/>
              </w:rPr>
            </w:pPr>
            <w:r>
              <w:rPr>
                <w:rFonts w:ascii="Trebuchet MS" w:hAnsi="Trebuchet MS"/>
              </w:rPr>
              <w:t>minim 30 de copii din teritoriul vizat de interventie, scolile din zona</w:t>
            </w:r>
          </w:p>
        </w:tc>
      </w:tr>
      <w:tr>
        <w:tc>
          <w:tcPr>
            <w:tcW w:w="828" w:type="dxa"/>
          </w:tcPr>
          <w:p>
            <w:pPr>
              <w:rPr>
                <w:rFonts w:ascii="Trebuchet MS" w:hAnsi="Trebuchet MS"/>
              </w:rPr>
            </w:pPr>
            <w:r>
              <w:rPr>
                <w:rFonts w:ascii="Trebuchet MS" w:hAnsi="Trebuchet MS"/>
              </w:rPr>
              <w:t>2</w:t>
            </w:r>
          </w:p>
        </w:tc>
        <w:tc>
          <w:tcPr>
            <w:tcW w:w="3792" w:type="dxa"/>
          </w:tcPr>
          <w:p>
            <w:pPr>
              <w:jc w:val="both"/>
              <w:rPr>
                <w:rFonts w:ascii="Trebuchet MS" w:hAnsi="Trebuchet MS"/>
              </w:rPr>
            </w:pPr>
            <w:r>
              <w:rPr>
                <w:rFonts w:ascii="Trebuchet MS" w:hAnsi="Trebuchet MS"/>
                <w:b/>
                <w:color w:val="1F497D" w:themeColor="text2"/>
              </w:rPr>
              <w:t>Măsura 2</w:t>
            </w:r>
            <w:r>
              <w:rPr>
                <w:rFonts w:ascii="Trebuchet MS" w:hAnsi="Trebuchet MS"/>
              </w:rPr>
              <w:t xml:space="preserve"> – Creșterea numărului de spații de recreere pentru locuitorii din zona SDL</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Înființarea de terenuri de joacă noi în Parcul Tineretului, Calea Națională 70, Barbu Lăzăreanu și str. Izvoarelor Grivița și reabilitarea terenurilor de joacă existente în teritoriul SDL, achiziționare mobilier urban</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r>
              <w:rPr>
                <w:rFonts w:ascii="Trebuchet MS" w:hAnsi="Trebuchet MS"/>
              </w:rPr>
              <w:t>Populatia de pe intreg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Amenajare spațiu de relaxare scuar Liceul Pedagogic</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r>
              <w:rPr>
                <w:rFonts w:ascii="Trebuchet MS" w:hAnsi="Trebuchet MS"/>
              </w:rPr>
              <w:t>Cel putin 300 de persoane,din cele doua ZUM-uri si teritoriul SDL ,locuitori ai zonei si elevi ai scolilor din proximitate</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Amenajare spații recreere în  ZUM Centrul Vechi și  ZUM Parcul Tineretului</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r>
              <w:rPr>
                <w:rFonts w:ascii="Trebuchet MS" w:hAnsi="Trebuchet MS"/>
              </w:rPr>
              <w:t>1495 persoane, din teritoriul celor 2 Zum-uri si teritoriul SDL</w:t>
            </w:r>
          </w:p>
        </w:tc>
      </w:tr>
      <w:tr>
        <w:tc>
          <w:tcPr>
            <w:tcW w:w="828" w:type="dxa"/>
          </w:tcPr>
          <w:p>
            <w:pPr>
              <w:rPr>
                <w:rFonts w:ascii="Trebuchet MS" w:hAnsi="Trebuchet MS"/>
              </w:rPr>
            </w:pPr>
            <w:r>
              <w:rPr>
                <w:rFonts w:ascii="Trebuchet MS" w:hAnsi="Trebuchet MS"/>
              </w:rPr>
              <w:lastRenderedPageBreak/>
              <w:t>3</w:t>
            </w:r>
          </w:p>
        </w:tc>
        <w:tc>
          <w:tcPr>
            <w:tcW w:w="3792" w:type="dxa"/>
          </w:tcPr>
          <w:p>
            <w:pPr>
              <w:jc w:val="both"/>
              <w:rPr>
                <w:rFonts w:ascii="Trebuchet MS" w:hAnsi="Trebuchet MS"/>
              </w:rPr>
            </w:pPr>
            <w:r>
              <w:rPr>
                <w:rFonts w:ascii="Trebuchet MS" w:hAnsi="Trebuchet MS"/>
                <w:b/>
                <w:color w:val="1F497D" w:themeColor="text2"/>
              </w:rPr>
              <w:t>Măsura 3 –</w:t>
            </w:r>
            <w:r>
              <w:rPr>
                <w:rFonts w:ascii="Trebuchet MS" w:hAnsi="Trebuchet MS"/>
              </w:rPr>
              <w:t xml:space="preserve"> Realizarea amenajării peisagistice a teritoriului  SDL, inclusiv a sensurilor giratorii</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Amenajare peisagistică a teritoriului SDL, inclusiv a sensurilor giratorii</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r>
              <w:rPr>
                <w:rFonts w:ascii="Trebuchet MS" w:hAnsi="Trebuchet MS"/>
              </w:rPr>
              <w:t>Locuitorii municipiului Botosani, din teritoriul SDL si cele doua ZUM-uri</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Concurs idei de îmbunătățire peisagistică a sensurilor giratorii organizat pentru locuitorii din proximitatea locațiilor</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r>
              <w:rPr>
                <w:rFonts w:ascii="Trebuchet MS" w:hAnsi="Trebuchet MS"/>
              </w:rPr>
              <w:t>minim 20 de copii/tineri,Locuitorii municipiului Botosani, cu accent pe locuitorii din teritoriul SDL si cele doua ZUM-uri</w:t>
            </w:r>
          </w:p>
        </w:tc>
      </w:tr>
      <w:tr>
        <w:tc>
          <w:tcPr>
            <w:tcW w:w="828" w:type="dxa"/>
          </w:tcPr>
          <w:p>
            <w:pPr>
              <w:rPr>
                <w:rFonts w:ascii="Trebuchet MS" w:hAnsi="Trebuchet MS"/>
              </w:rPr>
            </w:pPr>
          </w:p>
        </w:tc>
        <w:tc>
          <w:tcPr>
            <w:tcW w:w="3792" w:type="dxa"/>
          </w:tcPr>
          <w:p>
            <w:pPr>
              <w:jc w:val="both"/>
              <w:rPr>
                <w:rFonts w:ascii="Trebuchet MS" w:hAnsi="Trebuchet MS"/>
                <w:b/>
              </w:rPr>
            </w:pPr>
            <w:r>
              <w:rPr>
                <w:rFonts w:ascii="Trebuchet MS" w:hAnsi="Trebuchet MS"/>
                <w:b/>
              </w:rPr>
              <w:t>Masura 4 -</w:t>
            </w:r>
            <w:r>
              <w:rPr>
                <w:rFonts w:ascii="Trebuchet MS" w:hAnsi="Trebuchet MS"/>
              </w:rPr>
              <w:t xml:space="preserve"> modernizarea spatiilor publice urbane prin modernizarea utilitatilor publice – modernizarea iluminatului public urban</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b/>
              </w:rPr>
            </w:pPr>
            <w:r>
              <w:rPr>
                <w:rFonts w:ascii="Trebuchet MS" w:hAnsi="Trebuchet MS"/>
              </w:rPr>
              <w:t>Intervenție POR – Crearea / reabilitarea / modernizarea spatiilor publice urbane - modernizarea utilitatilor publice – modernizarea iluminatului public urban</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r>
              <w:rPr>
                <w:rFonts w:ascii="Trebuchet MS" w:hAnsi="Trebuchet MS"/>
              </w:rPr>
              <w:t>Locuitorii municipiului Botosani din teritoriul  SDL si cele doua ZUM-uri -</w:t>
            </w:r>
          </w:p>
        </w:tc>
      </w:tr>
      <w:tr>
        <w:tc>
          <w:tcPr>
            <w:tcW w:w="828" w:type="dxa"/>
          </w:tcPr>
          <w:p>
            <w:pPr>
              <w:rPr>
                <w:rFonts w:ascii="Trebuchet MS" w:hAnsi="Trebuchet MS"/>
              </w:rPr>
            </w:pPr>
            <w:r>
              <w:rPr>
                <w:rFonts w:ascii="Trebuchet MS" w:hAnsi="Trebuchet MS"/>
              </w:rPr>
              <w:t>4</w:t>
            </w:r>
          </w:p>
        </w:tc>
        <w:tc>
          <w:tcPr>
            <w:tcW w:w="3792" w:type="dxa"/>
          </w:tcPr>
          <w:p>
            <w:pPr>
              <w:jc w:val="both"/>
              <w:rPr>
                <w:rFonts w:ascii="Trebuchet MS" w:hAnsi="Trebuchet MS"/>
              </w:rPr>
            </w:pPr>
            <w:r>
              <w:rPr>
                <w:rFonts w:ascii="Trebuchet MS" w:hAnsi="Trebuchet MS"/>
                <w:b/>
                <w:color w:val="1F497D" w:themeColor="text2"/>
              </w:rPr>
              <w:t>Măsura 5 –</w:t>
            </w:r>
            <w:r>
              <w:rPr>
                <w:rFonts w:ascii="Trebuchet MS" w:hAnsi="Trebuchet MS"/>
              </w:rPr>
              <w:t xml:space="preserve"> Creșterea gradului de siguranță a cetățenilor din teritoriul SDL</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b/>
                <w:color w:val="1F497D" w:themeColor="text2"/>
              </w:rPr>
            </w:pPr>
            <w:r>
              <w:rPr>
                <w:rFonts w:ascii="Trebuchet MS" w:hAnsi="Trebuchet MS"/>
                <w:b/>
                <w:color w:val="1F497D" w:themeColor="text2"/>
              </w:rPr>
              <w:t xml:space="preserve">Interventie POR </w:t>
            </w:r>
            <w:r>
              <w:rPr>
                <w:rFonts w:ascii="Trebuchet MS" w:hAnsi="Trebuchet MS"/>
              </w:rPr>
              <w:t xml:space="preserve"> – Amplasarea de camera de supraveghere wireless pe teritoriul SDL</w:t>
            </w:r>
          </w:p>
        </w:tc>
        <w:tc>
          <w:tcPr>
            <w:tcW w:w="2311" w:type="dxa"/>
          </w:tcPr>
          <w:p>
            <w:pPr>
              <w:rPr>
                <w:rFonts w:ascii="Trebuchet MS" w:hAnsi="Trebuchet MS"/>
              </w:rPr>
            </w:pPr>
            <w:r>
              <w:rPr>
                <w:rFonts w:ascii="Trebuchet MS" w:hAnsi="Trebuchet MS"/>
              </w:rPr>
              <w:t>OS2</w:t>
            </w:r>
          </w:p>
        </w:tc>
        <w:tc>
          <w:tcPr>
            <w:tcW w:w="2311" w:type="dxa"/>
          </w:tcPr>
          <w:p>
            <w:pPr>
              <w:rPr>
                <w:rFonts w:ascii="Trebuchet MS" w:hAnsi="Trebuchet MS"/>
              </w:rPr>
            </w:pPr>
            <w:r>
              <w:rPr>
                <w:rFonts w:ascii="Trebuchet MS" w:hAnsi="Trebuchet MS"/>
              </w:rPr>
              <w:t>Locuitorii municipiului Botosani cu accent de pe locuitorii de pe din teritoriul  SDL si cele doua ZUM-uri</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Înființarea “Poliția seniorilor“ în zonele ZUM</w:t>
            </w:r>
          </w:p>
        </w:tc>
        <w:tc>
          <w:tcPr>
            <w:tcW w:w="2311" w:type="dxa"/>
          </w:tcPr>
          <w:p>
            <w:pPr>
              <w:rPr>
                <w:rFonts w:ascii="Trebuchet MS" w:hAnsi="Trebuchet MS"/>
              </w:rPr>
            </w:pPr>
            <w:r>
              <w:rPr>
                <w:rFonts w:ascii="Trebuchet MS" w:hAnsi="Trebuchet MS"/>
              </w:rPr>
              <w:t>OS 2</w:t>
            </w:r>
          </w:p>
        </w:tc>
        <w:tc>
          <w:tcPr>
            <w:tcW w:w="2311" w:type="dxa"/>
          </w:tcPr>
          <w:p>
            <w:pPr>
              <w:rPr>
                <w:rFonts w:ascii="Trebuchet MS" w:hAnsi="Trebuchet MS"/>
              </w:rPr>
            </w:pPr>
            <w:r>
              <w:rPr>
                <w:rFonts w:ascii="Trebuchet MS" w:hAnsi="Trebuchet MS"/>
              </w:rPr>
              <w:t>Locuitorii zonelor ZUM 1495 persoane</w:t>
            </w:r>
          </w:p>
        </w:tc>
      </w:tr>
      <w:tr>
        <w:tc>
          <w:tcPr>
            <w:tcW w:w="828" w:type="dxa"/>
          </w:tcPr>
          <w:p>
            <w:pPr>
              <w:rPr>
                <w:rFonts w:ascii="Trebuchet MS" w:hAnsi="Trebuchet MS"/>
              </w:rPr>
            </w:pPr>
            <w:r>
              <w:rPr>
                <w:rFonts w:ascii="Trebuchet MS" w:hAnsi="Trebuchet MS"/>
              </w:rPr>
              <w:t>5</w:t>
            </w:r>
          </w:p>
        </w:tc>
        <w:tc>
          <w:tcPr>
            <w:tcW w:w="3792" w:type="dxa"/>
          </w:tcPr>
          <w:p>
            <w:pPr>
              <w:jc w:val="both"/>
              <w:rPr>
                <w:rFonts w:ascii="Trebuchet MS" w:hAnsi="Trebuchet MS"/>
              </w:rPr>
            </w:pPr>
            <w:r>
              <w:rPr>
                <w:rFonts w:ascii="Trebuchet MS" w:hAnsi="Trebuchet MS"/>
                <w:b/>
                <w:color w:val="1F497D" w:themeColor="text2"/>
              </w:rPr>
              <w:t>Măsura 6</w:t>
            </w:r>
            <w:r>
              <w:rPr>
                <w:rFonts w:ascii="Trebuchet MS" w:hAnsi="Trebuchet MS"/>
              </w:rPr>
              <w:t xml:space="preserve"> – Imbunătățirea condițiilor de locuit în ZUM Centrul Istoric</w:t>
            </w:r>
          </w:p>
        </w:tc>
        <w:tc>
          <w:tcPr>
            <w:tcW w:w="2311" w:type="dxa"/>
          </w:tcPr>
          <w:p>
            <w:pPr>
              <w:rPr>
                <w:rFonts w:ascii="Trebuchet MS" w:hAnsi="Trebuchet MS"/>
              </w:rPr>
            </w:pPr>
            <w:r>
              <w:rPr>
                <w:rFonts w:ascii="Trebuchet MS" w:hAnsi="Trebuchet MS"/>
              </w:rPr>
              <w:t>OS 3</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Reabilitare locuințe sociale (fațade, acoperiș, grupuri sanitare, recompartimentare, reabilitarea spațiilor comune, instalații electrice, tamplărie, igienizare interioară)</w:t>
            </w:r>
          </w:p>
        </w:tc>
        <w:tc>
          <w:tcPr>
            <w:tcW w:w="2311" w:type="dxa"/>
          </w:tcPr>
          <w:p>
            <w:pPr>
              <w:rPr>
                <w:rFonts w:ascii="Trebuchet MS" w:hAnsi="Trebuchet MS"/>
              </w:rPr>
            </w:pPr>
            <w:r>
              <w:rPr>
                <w:rFonts w:ascii="Trebuchet MS" w:hAnsi="Trebuchet MS"/>
              </w:rPr>
              <w:t>OS 3</w:t>
            </w:r>
          </w:p>
        </w:tc>
        <w:tc>
          <w:tcPr>
            <w:tcW w:w="2311" w:type="dxa"/>
          </w:tcPr>
          <w:p>
            <w:pPr>
              <w:rPr>
                <w:rFonts w:ascii="Trebuchet MS" w:hAnsi="Trebuchet MS"/>
              </w:rPr>
            </w:pPr>
            <w:r>
              <w:rPr>
                <w:rFonts w:ascii="Trebuchet MS" w:hAnsi="Trebuchet MS"/>
              </w:rPr>
              <w:t>100 persoane din ZUM 2 Centru Istoric</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Implicarea asociațiilor de proprietari în </w:t>
            </w:r>
            <w:r>
              <w:rPr>
                <w:rFonts w:ascii="Trebuchet MS" w:hAnsi="Trebuchet MS"/>
              </w:rPr>
              <w:lastRenderedPageBreak/>
              <w:t>activități voluntare de reciclare  selectivă</w:t>
            </w:r>
          </w:p>
        </w:tc>
        <w:tc>
          <w:tcPr>
            <w:tcW w:w="2311" w:type="dxa"/>
          </w:tcPr>
          <w:p>
            <w:pPr>
              <w:rPr>
                <w:rFonts w:ascii="Trebuchet MS" w:hAnsi="Trebuchet MS"/>
              </w:rPr>
            </w:pPr>
            <w:r>
              <w:rPr>
                <w:rFonts w:ascii="Trebuchet MS" w:hAnsi="Trebuchet MS"/>
              </w:rPr>
              <w:lastRenderedPageBreak/>
              <w:t>OS 3</w:t>
            </w:r>
          </w:p>
        </w:tc>
        <w:tc>
          <w:tcPr>
            <w:tcW w:w="2311" w:type="dxa"/>
          </w:tcPr>
          <w:p>
            <w:pPr>
              <w:rPr>
                <w:rFonts w:ascii="Trebuchet MS" w:hAnsi="Trebuchet MS"/>
              </w:rPr>
            </w:pPr>
            <w:r>
              <w:rPr>
                <w:rFonts w:ascii="Trebuchet MS" w:hAnsi="Trebuchet MS"/>
              </w:rPr>
              <w:t>100 persoane din cele doua ZUM-uri</w:t>
            </w:r>
          </w:p>
        </w:tc>
      </w:tr>
      <w:tr>
        <w:tc>
          <w:tcPr>
            <w:tcW w:w="828" w:type="dxa"/>
          </w:tcPr>
          <w:p>
            <w:pPr>
              <w:rPr>
                <w:rFonts w:ascii="Trebuchet MS" w:hAnsi="Trebuchet MS"/>
              </w:rPr>
            </w:pPr>
            <w:r>
              <w:rPr>
                <w:rFonts w:ascii="Trebuchet MS" w:hAnsi="Trebuchet MS"/>
              </w:rPr>
              <w:t>6</w:t>
            </w:r>
          </w:p>
        </w:tc>
        <w:tc>
          <w:tcPr>
            <w:tcW w:w="3792" w:type="dxa"/>
          </w:tcPr>
          <w:p>
            <w:pPr>
              <w:jc w:val="both"/>
              <w:rPr>
                <w:rFonts w:ascii="Trebuchet MS" w:hAnsi="Trebuchet MS"/>
              </w:rPr>
            </w:pPr>
            <w:r>
              <w:rPr>
                <w:rFonts w:ascii="Trebuchet MS" w:hAnsi="Trebuchet MS"/>
                <w:b/>
                <w:color w:val="1F497D" w:themeColor="text2"/>
              </w:rPr>
              <w:t>Măsura 7</w:t>
            </w:r>
            <w:r>
              <w:rPr>
                <w:rFonts w:ascii="Trebuchet MS" w:hAnsi="Trebuchet MS"/>
              </w:rPr>
              <w:t xml:space="preserve"> – Creșterea accesului la servicii de ocupare prin furnizarea de servicii de informare, coniliere și mediere</w:t>
            </w:r>
          </w:p>
        </w:tc>
        <w:tc>
          <w:tcPr>
            <w:tcW w:w="2311" w:type="dxa"/>
          </w:tcPr>
          <w:p>
            <w:pPr>
              <w:rPr>
                <w:rFonts w:ascii="Trebuchet MS" w:hAnsi="Trebuchet MS"/>
              </w:rPr>
            </w:pPr>
            <w:r>
              <w:rPr>
                <w:rFonts w:ascii="Trebuchet MS" w:hAnsi="Trebuchet MS"/>
              </w:rPr>
              <w:t>OS 4</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Servicii de ocupare (informare și consiliere, mediere a muncii) pentru 420 persoane</w:t>
            </w:r>
          </w:p>
        </w:tc>
        <w:tc>
          <w:tcPr>
            <w:tcW w:w="2311" w:type="dxa"/>
          </w:tcPr>
          <w:p>
            <w:pPr>
              <w:rPr>
                <w:rFonts w:ascii="Trebuchet MS" w:hAnsi="Trebuchet MS"/>
              </w:rPr>
            </w:pPr>
            <w:r>
              <w:rPr>
                <w:rFonts w:ascii="Trebuchet MS" w:hAnsi="Trebuchet MS"/>
              </w:rPr>
              <w:t>OS 4</w:t>
            </w:r>
          </w:p>
        </w:tc>
        <w:tc>
          <w:tcPr>
            <w:tcW w:w="2311" w:type="dxa"/>
          </w:tcPr>
          <w:p>
            <w:pPr>
              <w:rPr>
                <w:rFonts w:ascii="Trebuchet MS" w:hAnsi="Trebuchet MS"/>
              </w:rPr>
            </w:pPr>
            <w:r>
              <w:rPr>
                <w:rFonts w:ascii="Trebuchet MS" w:hAnsi="Trebuchet MS"/>
              </w:rPr>
              <w:t>420 de persoane din cele doua ZUM-uri si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Reabilitarea spațiului în care se vor derula serviciile de ocupare și calificare</w:t>
            </w:r>
          </w:p>
        </w:tc>
        <w:tc>
          <w:tcPr>
            <w:tcW w:w="2311" w:type="dxa"/>
          </w:tcPr>
          <w:p>
            <w:pPr>
              <w:rPr>
                <w:rFonts w:ascii="Trebuchet MS" w:hAnsi="Trebuchet MS"/>
              </w:rPr>
            </w:pPr>
            <w:r>
              <w:rPr>
                <w:rFonts w:ascii="Trebuchet MS" w:hAnsi="Trebuchet MS"/>
              </w:rPr>
              <w:t>OS 4</w:t>
            </w:r>
          </w:p>
        </w:tc>
        <w:tc>
          <w:tcPr>
            <w:tcW w:w="2311" w:type="dxa"/>
          </w:tcPr>
          <w:p>
            <w:pPr>
              <w:rPr>
                <w:rFonts w:ascii="Trebuchet MS" w:hAnsi="Trebuchet MS"/>
              </w:rPr>
            </w:pPr>
            <w:r>
              <w:rPr>
                <w:rFonts w:ascii="Trebuchet MS" w:hAnsi="Trebuchet MS"/>
              </w:rPr>
              <w:t>420 de persoane din cele doua ZUM-uri si teritoriul SDL</w:t>
            </w:r>
          </w:p>
        </w:tc>
      </w:tr>
      <w:tr>
        <w:tc>
          <w:tcPr>
            <w:tcW w:w="828" w:type="dxa"/>
          </w:tcPr>
          <w:p>
            <w:pPr>
              <w:rPr>
                <w:rFonts w:ascii="Trebuchet MS" w:hAnsi="Trebuchet MS"/>
              </w:rPr>
            </w:pPr>
            <w:r>
              <w:rPr>
                <w:rFonts w:ascii="Trebuchet MS" w:hAnsi="Trebuchet MS"/>
              </w:rPr>
              <w:t>7</w:t>
            </w:r>
          </w:p>
        </w:tc>
        <w:tc>
          <w:tcPr>
            <w:tcW w:w="3792" w:type="dxa"/>
          </w:tcPr>
          <w:p>
            <w:pPr>
              <w:rPr>
                <w:rFonts w:ascii="Trebuchet MS" w:hAnsi="Trebuchet MS"/>
              </w:rPr>
            </w:pPr>
            <w:r>
              <w:rPr>
                <w:rFonts w:ascii="Trebuchet MS" w:hAnsi="Trebuchet MS"/>
                <w:b/>
                <w:color w:val="1F497D" w:themeColor="text2"/>
              </w:rPr>
              <w:t>Măsura 8</w:t>
            </w:r>
            <w:r>
              <w:rPr>
                <w:rFonts w:ascii="Trebuchet MS" w:hAnsi="Trebuchet MS"/>
              </w:rPr>
              <w:t xml:space="preserve"> – creșterea numărului de persoane calificate prin furnizarea de cursuri de calificare și alte măsuri specific</w:t>
            </w:r>
          </w:p>
        </w:tc>
        <w:tc>
          <w:tcPr>
            <w:tcW w:w="2311" w:type="dxa"/>
          </w:tcPr>
          <w:p>
            <w:pPr>
              <w:rPr>
                <w:rFonts w:ascii="Trebuchet MS" w:hAnsi="Trebuchet MS"/>
              </w:rPr>
            </w:pPr>
            <w:r>
              <w:rPr>
                <w:rFonts w:ascii="Trebuchet MS" w:hAnsi="Trebuchet MS"/>
              </w:rPr>
              <w:t>OS 4</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Servicii de calificare pentru 210 persoane din teritoriul SDL</w:t>
            </w:r>
          </w:p>
        </w:tc>
        <w:tc>
          <w:tcPr>
            <w:tcW w:w="2311" w:type="dxa"/>
          </w:tcPr>
          <w:p>
            <w:pPr>
              <w:rPr>
                <w:rFonts w:ascii="Trebuchet MS" w:hAnsi="Trebuchet MS"/>
              </w:rPr>
            </w:pPr>
            <w:r>
              <w:rPr>
                <w:rFonts w:ascii="Trebuchet MS" w:hAnsi="Trebuchet MS"/>
              </w:rPr>
              <w:t>OS 4</w:t>
            </w:r>
          </w:p>
        </w:tc>
        <w:tc>
          <w:tcPr>
            <w:tcW w:w="2311" w:type="dxa"/>
          </w:tcPr>
          <w:p>
            <w:pPr>
              <w:rPr>
                <w:rFonts w:ascii="Trebuchet MS" w:hAnsi="Trebuchet MS"/>
              </w:rPr>
            </w:pPr>
            <w:r>
              <w:rPr>
                <w:rFonts w:ascii="Trebuchet MS" w:hAnsi="Trebuchet MS"/>
              </w:rPr>
              <w:t>210 persoane  din cele doua ZUM-uri si teritoriul SDL</w:t>
            </w:r>
          </w:p>
        </w:tc>
      </w:tr>
      <w:tr>
        <w:tc>
          <w:tcPr>
            <w:tcW w:w="828" w:type="dxa"/>
          </w:tcPr>
          <w:p>
            <w:pPr>
              <w:rPr>
                <w:rFonts w:ascii="Trebuchet MS" w:hAnsi="Trebuchet MS"/>
              </w:rPr>
            </w:pPr>
            <w:r>
              <w:rPr>
                <w:rFonts w:ascii="Trebuchet MS" w:hAnsi="Trebuchet MS"/>
              </w:rPr>
              <w:t>8</w:t>
            </w:r>
          </w:p>
        </w:tc>
        <w:tc>
          <w:tcPr>
            <w:tcW w:w="3792" w:type="dxa"/>
          </w:tcPr>
          <w:p>
            <w:pPr>
              <w:jc w:val="both"/>
              <w:rPr>
                <w:rFonts w:ascii="Trebuchet MS" w:hAnsi="Trebuchet MS"/>
              </w:rPr>
            </w:pPr>
            <w:r>
              <w:rPr>
                <w:rFonts w:ascii="Trebuchet MS" w:hAnsi="Trebuchet MS"/>
                <w:b/>
                <w:color w:val="1F497D" w:themeColor="text2"/>
              </w:rPr>
              <w:t>Măsura 9</w:t>
            </w:r>
            <w:r>
              <w:rPr>
                <w:rFonts w:ascii="Trebuchet MS" w:hAnsi="Trebuchet MS"/>
              </w:rPr>
              <w:t xml:space="preserve"> – Creștere anumărului de persoane angajate prin servicii de mediere și facilitarea accesului pe piața muncii</w:t>
            </w:r>
          </w:p>
        </w:tc>
        <w:tc>
          <w:tcPr>
            <w:tcW w:w="2311" w:type="dxa"/>
          </w:tcPr>
          <w:p>
            <w:pPr>
              <w:rPr>
                <w:rFonts w:ascii="Trebuchet MS" w:hAnsi="Trebuchet MS"/>
              </w:rPr>
            </w:pPr>
            <w:r>
              <w:rPr>
                <w:rFonts w:ascii="Trebuchet MS" w:hAnsi="Trebuchet MS"/>
              </w:rPr>
              <w:t>OS 4</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Sprijin activ pentru angajarea a 53 persoane din teritoriul SDL</w:t>
            </w:r>
          </w:p>
        </w:tc>
        <w:tc>
          <w:tcPr>
            <w:tcW w:w="2311" w:type="dxa"/>
          </w:tcPr>
          <w:p>
            <w:pPr>
              <w:rPr>
                <w:rFonts w:ascii="Trebuchet MS" w:hAnsi="Trebuchet MS"/>
              </w:rPr>
            </w:pPr>
            <w:r>
              <w:rPr>
                <w:rFonts w:ascii="Trebuchet MS" w:hAnsi="Trebuchet MS"/>
              </w:rPr>
              <w:t>OS 4</w:t>
            </w:r>
          </w:p>
        </w:tc>
        <w:tc>
          <w:tcPr>
            <w:tcW w:w="2311" w:type="dxa"/>
          </w:tcPr>
          <w:p>
            <w:pPr>
              <w:rPr>
                <w:rFonts w:ascii="Trebuchet MS" w:hAnsi="Trebuchet MS"/>
              </w:rPr>
            </w:pPr>
            <w:r>
              <w:rPr>
                <w:rFonts w:ascii="Trebuchet MS" w:hAnsi="Trebuchet MS"/>
              </w:rPr>
              <w:t>53 persoane din cele doua ZUM-uri si teritoriul SDL</w:t>
            </w:r>
          </w:p>
        </w:tc>
      </w:tr>
      <w:tr>
        <w:tc>
          <w:tcPr>
            <w:tcW w:w="828" w:type="dxa"/>
          </w:tcPr>
          <w:p>
            <w:pPr>
              <w:rPr>
                <w:rFonts w:ascii="Trebuchet MS" w:hAnsi="Trebuchet MS"/>
              </w:rPr>
            </w:pPr>
            <w:r>
              <w:rPr>
                <w:rFonts w:ascii="Trebuchet MS" w:hAnsi="Trebuchet MS"/>
              </w:rPr>
              <w:t>9</w:t>
            </w:r>
          </w:p>
        </w:tc>
        <w:tc>
          <w:tcPr>
            <w:tcW w:w="3792" w:type="dxa"/>
          </w:tcPr>
          <w:p>
            <w:pPr>
              <w:jc w:val="both"/>
              <w:rPr>
                <w:rFonts w:ascii="Trebuchet MS" w:hAnsi="Trebuchet MS"/>
              </w:rPr>
            </w:pPr>
            <w:r>
              <w:rPr>
                <w:rFonts w:ascii="Trebuchet MS" w:hAnsi="Trebuchet MS"/>
                <w:b/>
                <w:color w:val="1F497D" w:themeColor="text2"/>
              </w:rPr>
              <w:t>Măsura 10</w:t>
            </w:r>
            <w:r>
              <w:rPr>
                <w:rFonts w:ascii="Trebuchet MS" w:hAnsi="Trebuchet MS"/>
              </w:rPr>
              <w:t xml:space="preserve"> – Reducerea gradului de abandon școlar</w:t>
            </w:r>
          </w:p>
        </w:tc>
        <w:tc>
          <w:tcPr>
            <w:tcW w:w="2311" w:type="dxa"/>
          </w:tcPr>
          <w:p>
            <w:pPr>
              <w:rPr>
                <w:rFonts w:ascii="Trebuchet MS" w:hAnsi="Trebuchet MS"/>
              </w:rPr>
            </w:pPr>
            <w:r>
              <w:rPr>
                <w:rFonts w:ascii="Trebuchet MS" w:hAnsi="Trebuchet MS"/>
              </w:rPr>
              <w:t>OS 5</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Servicii educaționale pentru copiii aflați în risc de abandon școlar 300 copii din comunitățile marginalizate</w:t>
            </w:r>
          </w:p>
        </w:tc>
        <w:tc>
          <w:tcPr>
            <w:tcW w:w="2311" w:type="dxa"/>
          </w:tcPr>
          <w:p>
            <w:pPr>
              <w:rPr>
                <w:rFonts w:ascii="Trebuchet MS" w:hAnsi="Trebuchet MS"/>
              </w:rPr>
            </w:pPr>
            <w:r>
              <w:rPr>
                <w:rFonts w:ascii="Trebuchet MS" w:hAnsi="Trebuchet MS"/>
              </w:rPr>
              <w:t>OS 5</w:t>
            </w:r>
          </w:p>
        </w:tc>
        <w:tc>
          <w:tcPr>
            <w:tcW w:w="2311" w:type="dxa"/>
          </w:tcPr>
          <w:p>
            <w:pPr>
              <w:rPr>
                <w:rFonts w:ascii="Trebuchet MS" w:hAnsi="Trebuchet MS"/>
              </w:rPr>
            </w:pPr>
            <w:r>
              <w:rPr>
                <w:rFonts w:ascii="Trebuchet MS" w:hAnsi="Trebuchet MS"/>
              </w:rPr>
              <w:t>300 copii din cele doua ZUM-uri si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Reabilitare și dotare săli pentru servicii educaționale pentru copiii aflați în risc de abandon școlar și A doua șansă în cadrul Centrului Comunitar</w:t>
            </w:r>
          </w:p>
        </w:tc>
        <w:tc>
          <w:tcPr>
            <w:tcW w:w="2311" w:type="dxa"/>
          </w:tcPr>
          <w:p>
            <w:pPr>
              <w:rPr>
                <w:rFonts w:ascii="Trebuchet MS" w:hAnsi="Trebuchet MS"/>
              </w:rPr>
            </w:pPr>
            <w:r>
              <w:rPr>
                <w:rFonts w:ascii="Trebuchet MS" w:hAnsi="Trebuchet MS"/>
              </w:rPr>
              <w:t>OS 5</w:t>
            </w:r>
          </w:p>
        </w:tc>
        <w:tc>
          <w:tcPr>
            <w:tcW w:w="2311" w:type="dxa"/>
          </w:tcPr>
          <w:p>
            <w:pPr>
              <w:rPr>
                <w:rFonts w:ascii="Trebuchet MS" w:hAnsi="Trebuchet MS"/>
              </w:rPr>
            </w:pPr>
            <w:r>
              <w:rPr>
                <w:rFonts w:ascii="Trebuchet MS" w:hAnsi="Trebuchet MS"/>
              </w:rPr>
              <w:t>320 persoane din cele doua ZUM-uri si teritoriul SDL</w:t>
            </w:r>
          </w:p>
        </w:tc>
      </w:tr>
      <w:tr>
        <w:tc>
          <w:tcPr>
            <w:tcW w:w="828" w:type="dxa"/>
          </w:tcPr>
          <w:p>
            <w:pPr>
              <w:rPr>
                <w:rFonts w:ascii="Trebuchet MS" w:hAnsi="Trebuchet MS"/>
              </w:rPr>
            </w:pPr>
            <w:r>
              <w:rPr>
                <w:rFonts w:ascii="Trebuchet MS" w:hAnsi="Trebuchet MS"/>
              </w:rPr>
              <w:t>10</w:t>
            </w:r>
          </w:p>
        </w:tc>
        <w:tc>
          <w:tcPr>
            <w:tcW w:w="3792" w:type="dxa"/>
          </w:tcPr>
          <w:p>
            <w:pPr>
              <w:jc w:val="both"/>
              <w:rPr>
                <w:rFonts w:ascii="Trebuchet MS" w:hAnsi="Trebuchet MS"/>
              </w:rPr>
            </w:pPr>
            <w:r>
              <w:rPr>
                <w:rFonts w:ascii="Trebuchet MS" w:hAnsi="Trebuchet MS"/>
                <w:color w:val="1F497D" w:themeColor="text2"/>
              </w:rPr>
              <w:t>Măsura 11</w:t>
            </w:r>
            <w:r>
              <w:rPr>
                <w:rFonts w:ascii="Trebuchet MS" w:hAnsi="Trebuchet MS"/>
              </w:rPr>
              <w:t xml:space="preserve"> – Creșterea nivelului de instuire pentru adulții absolvenți de școală primară</w:t>
            </w:r>
          </w:p>
        </w:tc>
        <w:tc>
          <w:tcPr>
            <w:tcW w:w="2311" w:type="dxa"/>
          </w:tcPr>
          <w:p>
            <w:pPr>
              <w:rPr>
                <w:rFonts w:ascii="Trebuchet MS" w:hAnsi="Trebuchet MS"/>
              </w:rPr>
            </w:pPr>
            <w:r>
              <w:rPr>
                <w:rFonts w:ascii="Trebuchet MS" w:hAnsi="Trebuchet MS"/>
              </w:rPr>
              <w:t>OS 5</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Servicii de tip A doua șansă pentru 20 de persoane </w:t>
            </w:r>
          </w:p>
        </w:tc>
        <w:tc>
          <w:tcPr>
            <w:tcW w:w="2311" w:type="dxa"/>
          </w:tcPr>
          <w:p>
            <w:pPr>
              <w:rPr>
                <w:rFonts w:ascii="Trebuchet MS" w:hAnsi="Trebuchet MS"/>
              </w:rPr>
            </w:pPr>
            <w:r>
              <w:rPr>
                <w:rFonts w:ascii="Trebuchet MS" w:hAnsi="Trebuchet MS"/>
              </w:rPr>
              <w:t>OS 5</w:t>
            </w:r>
          </w:p>
        </w:tc>
        <w:tc>
          <w:tcPr>
            <w:tcW w:w="2311" w:type="dxa"/>
          </w:tcPr>
          <w:p>
            <w:pPr>
              <w:rPr>
                <w:rFonts w:ascii="Trebuchet MS" w:hAnsi="Trebuchet MS"/>
              </w:rPr>
            </w:pPr>
            <w:r>
              <w:rPr>
                <w:rFonts w:ascii="Trebuchet MS" w:hAnsi="Trebuchet MS"/>
              </w:rPr>
              <w:t>20 de persoane care au parasit de timpuriu scoala din cele doua ZUM-uri</w:t>
            </w:r>
          </w:p>
        </w:tc>
      </w:tr>
      <w:tr>
        <w:tc>
          <w:tcPr>
            <w:tcW w:w="828" w:type="dxa"/>
          </w:tcPr>
          <w:p>
            <w:pPr>
              <w:rPr>
                <w:rFonts w:ascii="Trebuchet MS" w:hAnsi="Trebuchet MS"/>
              </w:rPr>
            </w:pPr>
            <w:r>
              <w:rPr>
                <w:rFonts w:ascii="Trebuchet MS" w:hAnsi="Trebuchet MS"/>
              </w:rPr>
              <w:t>11</w:t>
            </w:r>
          </w:p>
        </w:tc>
        <w:tc>
          <w:tcPr>
            <w:tcW w:w="3792" w:type="dxa"/>
          </w:tcPr>
          <w:p>
            <w:pPr>
              <w:jc w:val="both"/>
              <w:rPr>
                <w:rFonts w:ascii="Trebuchet MS" w:hAnsi="Trebuchet MS"/>
              </w:rPr>
            </w:pPr>
            <w:r>
              <w:rPr>
                <w:rFonts w:ascii="Trebuchet MS" w:hAnsi="Trebuchet MS"/>
                <w:b/>
                <w:color w:val="1F497D" w:themeColor="text2"/>
              </w:rPr>
              <w:t>Măsura 12</w:t>
            </w:r>
            <w:r>
              <w:rPr>
                <w:rFonts w:ascii="Trebuchet MS" w:hAnsi="Trebuchet MS"/>
              </w:rPr>
              <w:t xml:space="preserve"> – Înființarea centrului comunitar și dezvoltarea de servicii integrate</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b/>
              </w:rPr>
            </w:pPr>
            <w:r>
              <w:rPr>
                <w:rFonts w:ascii="Trebuchet MS" w:hAnsi="Trebuchet MS"/>
                <w:b/>
              </w:rPr>
              <w:t>Intervenție POCU</w:t>
            </w:r>
            <w:r>
              <w:rPr>
                <w:rFonts w:ascii="Trebuchet MS" w:hAnsi="Trebuchet MS"/>
              </w:rPr>
              <w:t xml:space="preserve"> – Operaționalizare centru comunitar</w:t>
            </w:r>
          </w:p>
        </w:tc>
        <w:tc>
          <w:tcPr>
            <w:tcW w:w="2311" w:type="dxa"/>
          </w:tcPr>
          <w:p>
            <w:pPr>
              <w:rPr>
                <w:rFonts w:ascii="Trebuchet MS" w:hAnsi="Trebuchet MS"/>
              </w:rPr>
            </w:pPr>
          </w:p>
        </w:tc>
        <w:tc>
          <w:tcPr>
            <w:tcW w:w="2311" w:type="dxa"/>
          </w:tcPr>
          <w:p>
            <w:pPr>
              <w:rPr>
                <w:rFonts w:ascii="Trebuchet MS" w:hAnsi="Trebuchet MS"/>
              </w:rPr>
            </w:pPr>
            <w:r>
              <w:rPr>
                <w:rFonts w:ascii="Trebuchet MS" w:hAnsi="Trebuchet MS"/>
              </w:rPr>
              <w:t>Minim 420 de persoane din cele doua ZUM-uri si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Acordarea de servicii sociale și/sau medico-sociale pentru 420 persoane</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r>
              <w:rPr>
                <w:rFonts w:ascii="Trebuchet MS" w:hAnsi="Trebuchet MS"/>
              </w:rPr>
              <w:t>Minim 420 de persoane din cele doua ZUM-uri si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Reabilitare Centru Comunitar Integrat</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r>
              <w:rPr>
                <w:rFonts w:ascii="Trebuchet MS" w:hAnsi="Trebuchet MS"/>
              </w:rPr>
              <w:t>Minim 740 de persoane din cele doua ZUM-uri si teritoriul SDL ,de toate varstele</w:t>
            </w:r>
          </w:p>
        </w:tc>
      </w:tr>
      <w:tr>
        <w:tc>
          <w:tcPr>
            <w:tcW w:w="828" w:type="dxa"/>
          </w:tcPr>
          <w:p>
            <w:pPr>
              <w:rPr>
                <w:rFonts w:ascii="Trebuchet MS" w:hAnsi="Trebuchet MS"/>
              </w:rPr>
            </w:pPr>
            <w:r>
              <w:rPr>
                <w:rFonts w:ascii="Trebuchet MS" w:hAnsi="Trebuchet MS"/>
              </w:rPr>
              <w:t>12</w:t>
            </w:r>
          </w:p>
        </w:tc>
        <w:tc>
          <w:tcPr>
            <w:tcW w:w="3792" w:type="dxa"/>
          </w:tcPr>
          <w:p>
            <w:pPr>
              <w:jc w:val="both"/>
              <w:rPr>
                <w:rFonts w:ascii="Trebuchet MS" w:hAnsi="Trebuchet MS"/>
              </w:rPr>
            </w:pPr>
            <w:r>
              <w:rPr>
                <w:rFonts w:ascii="Trebuchet MS" w:hAnsi="Trebuchet MS"/>
                <w:b/>
                <w:color w:val="1F497D" w:themeColor="text2"/>
              </w:rPr>
              <w:t>Măsura 13</w:t>
            </w:r>
            <w:r>
              <w:rPr>
                <w:rFonts w:ascii="Trebuchet MS" w:hAnsi="Trebuchet MS"/>
              </w:rPr>
              <w:t xml:space="preserve"> – Creșterea numărului de persoane din comunitățile marginalizate aflate în risc de sărăcie sau excluziune sociala care beneficiază de o masa caldă</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Dezvoltare capacitate cantină socială</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r>
              <w:rPr>
                <w:rFonts w:ascii="Trebuchet MS" w:hAnsi="Trebuchet MS"/>
              </w:rPr>
              <w:t>100 de persoane care nu isi permit o masa calda zilnic din cele doua ZUM-uri si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Reabilitare și dotare cantina sociala</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r>
              <w:rPr>
                <w:rFonts w:ascii="Trebuchet MS" w:hAnsi="Trebuchet MS"/>
              </w:rPr>
              <w:t>Peste 100 de persoane din cele doua ZUM-uri si teritoriul SDL</w:t>
            </w:r>
          </w:p>
        </w:tc>
      </w:tr>
      <w:tr>
        <w:tc>
          <w:tcPr>
            <w:tcW w:w="828" w:type="dxa"/>
          </w:tcPr>
          <w:p>
            <w:pPr>
              <w:rPr>
                <w:rFonts w:ascii="Trebuchet MS" w:hAnsi="Trebuchet MS"/>
              </w:rPr>
            </w:pPr>
            <w:r>
              <w:rPr>
                <w:rFonts w:ascii="Trebuchet MS" w:hAnsi="Trebuchet MS"/>
              </w:rPr>
              <w:t>13</w:t>
            </w:r>
          </w:p>
        </w:tc>
        <w:tc>
          <w:tcPr>
            <w:tcW w:w="3792" w:type="dxa"/>
          </w:tcPr>
          <w:p>
            <w:pPr>
              <w:jc w:val="both"/>
              <w:rPr>
                <w:rFonts w:ascii="Trebuchet MS" w:hAnsi="Trebuchet MS"/>
              </w:rPr>
            </w:pPr>
            <w:r>
              <w:rPr>
                <w:rFonts w:ascii="Trebuchet MS" w:hAnsi="Trebuchet MS"/>
                <w:b/>
                <w:color w:val="1F497D" w:themeColor="text2"/>
              </w:rPr>
              <w:t>Măsura 14 –</w:t>
            </w:r>
            <w:r>
              <w:rPr>
                <w:rFonts w:ascii="Trebuchet MS" w:hAnsi="Trebuchet MS"/>
              </w:rPr>
              <w:t xml:space="preserve"> Creșterea accesului la servicii medicale</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Analize medicale gratuite pentru 840 de persoane din teritoriul SDL</w:t>
            </w:r>
          </w:p>
        </w:tc>
        <w:tc>
          <w:tcPr>
            <w:tcW w:w="2311" w:type="dxa"/>
          </w:tcPr>
          <w:p>
            <w:pPr>
              <w:rPr>
                <w:rFonts w:ascii="Trebuchet MS" w:hAnsi="Trebuchet MS"/>
              </w:rPr>
            </w:pPr>
            <w:r>
              <w:rPr>
                <w:rFonts w:ascii="Trebuchet MS" w:hAnsi="Trebuchet MS"/>
              </w:rPr>
              <w:t>OS 6</w:t>
            </w:r>
          </w:p>
        </w:tc>
        <w:tc>
          <w:tcPr>
            <w:tcW w:w="2311" w:type="dxa"/>
          </w:tcPr>
          <w:p>
            <w:pPr>
              <w:rPr>
                <w:rFonts w:ascii="Trebuchet MS" w:hAnsi="Trebuchet MS"/>
              </w:rPr>
            </w:pPr>
            <w:r>
              <w:rPr>
                <w:rFonts w:ascii="Trebuchet MS" w:hAnsi="Trebuchet MS"/>
              </w:rPr>
              <w:t>840 de persoane aflate in risc de saracie si excluziune sociala din cele doua ZUM-uri si teritoriul SDL</w:t>
            </w:r>
          </w:p>
        </w:tc>
      </w:tr>
      <w:tr>
        <w:tc>
          <w:tcPr>
            <w:tcW w:w="828" w:type="dxa"/>
          </w:tcPr>
          <w:p>
            <w:pPr>
              <w:rPr>
                <w:rFonts w:ascii="Trebuchet MS" w:hAnsi="Trebuchet MS"/>
              </w:rPr>
            </w:pPr>
            <w:r>
              <w:rPr>
                <w:rFonts w:ascii="Trebuchet MS" w:hAnsi="Trebuchet MS"/>
              </w:rPr>
              <w:t>14</w:t>
            </w:r>
          </w:p>
        </w:tc>
        <w:tc>
          <w:tcPr>
            <w:tcW w:w="3792" w:type="dxa"/>
          </w:tcPr>
          <w:p>
            <w:pPr>
              <w:jc w:val="both"/>
              <w:rPr>
                <w:rFonts w:ascii="Trebuchet MS" w:hAnsi="Trebuchet MS"/>
              </w:rPr>
            </w:pPr>
            <w:r>
              <w:rPr>
                <w:rFonts w:ascii="Trebuchet MS" w:hAnsi="Trebuchet MS"/>
                <w:b/>
                <w:color w:val="1F497D" w:themeColor="text2"/>
              </w:rPr>
              <w:t>Măsura 15</w:t>
            </w:r>
            <w:r>
              <w:rPr>
                <w:rFonts w:ascii="Trebuchet MS" w:hAnsi="Trebuchet MS"/>
              </w:rPr>
              <w:t xml:space="preserve"> – Înființarea unui magazin social</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POR</w:t>
            </w:r>
            <w:r>
              <w:rPr>
                <w:rFonts w:ascii="Trebuchet MS" w:hAnsi="Trebuchet MS"/>
              </w:rPr>
              <w:t xml:space="preserve"> – Amenajari ale spatiului urban degradat, al comunitatii defavorizate – modernizare cladire pentru a gazdui activitati social-comunitare, respectiv magazin social</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r>
              <w:rPr>
                <w:rFonts w:ascii="Trebuchet MS" w:hAnsi="Trebuchet MS"/>
              </w:rPr>
              <w:t>Peste 100 de persoane din cele doua ZUM-uri si teritoriul SDL</w:t>
            </w: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Operaționalizarea magazinului social printr-un sistem de achiziționare a produselor contra unui număr de ore de muncă în </w:t>
            </w:r>
            <w:r>
              <w:rPr>
                <w:rFonts w:ascii="Trebuchet MS" w:hAnsi="Trebuchet MS"/>
              </w:rPr>
              <w:lastRenderedPageBreak/>
              <w:t>folosul comunității</w:t>
            </w:r>
          </w:p>
        </w:tc>
        <w:tc>
          <w:tcPr>
            <w:tcW w:w="2311" w:type="dxa"/>
          </w:tcPr>
          <w:p>
            <w:pPr>
              <w:rPr>
                <w:rFonts w:ascii="Trebuchet MS" w:hAnsi="Trebuchet MS"/>
              </w:rPr>
            </w:pPr>
            <w:r>
              <w:rPr>
                <w:rFonts w:ascii="Trebuchet MS" w:hAnsi="Trebuchet MS"/>
              </w:rPr>
              <w:lastRenderedPageBreak/>
              <w:t>OS.7</w:t>
            </w:r>
          </w:p>
        </w:tc>
        <w:tc>
          <w:tcPr>
            <w:tcW w:w="2311" w:type="dxa"/>
          </w:tcPr>
          <w:p>
            <w:pPr>
              <w:rPr>
                <w:rFonts w:ascii="Trebuchet MS" w:hAnsi="Trebuchet MS"/>
              </w:rPr>
            </w:pPr>
            <w:r>
              <w:rPr>
                <w:rFonts w:ascii="Trebuchet MS" w:hAnsi="Trebuchet MS"/>
              </w:rPr>
              <w:t>Peste 100 de persoane din cele doua ZUM-uri si teritoriul SDL</w:t>
            </w:r>
          </w:p>
        </w:tc>
      </w:tr>
      <w:tr>
        <w:tc>
          <w:tcPr>
            <w:tcW w:w="828" w:type="dxa"/>
          </w:tcPr>
          <w:p>
            <w:pPr>
              <w:rPr>
                <w:rFonts w:ascii="Trebuchet MS" w:hAnsi="Trebuchet MS"/>
              </w:rPr>
            </w:pPr>
            <w:r>
              <w:rPr>
                <w:rFonts w:ascii="Trebuchet MS" w:hAnsi="Trebuchet MS"/>
              </w:rPr>
              <w:t>15</w:t>
            </w:r>
          </w:p>
        </w:tc>
        <w:tc>
          <w:tcPr>
            <w:tcW w:w="3792" w:type="dxa"/>
          </w:tcPr>
          <w:p>
            <w:pPr>
              <w:jc w:val="both"/>
              <w:rPr>
                <w:rFonts w:ascii="Trebuchet MS" w:hAnsi="Trebuchet MS"/>
              </w:rPr>
            </w:pPr>
            <w:r>
              <w:rPr>
                <w:rFonts w:ascii="Trebuchet MS" w:hAnsi="Trebuchet MS"/>
                <w:b/>
                <w:color w:val="1F497D" w:themeColor="text2"/>
              </w:rPr>
              <w:t>Măsura 16</w:t>
            </w:r>
            <w:r>
              <w:rPr>
                <w:rFonts w:ascii="Trebuchet MS" w:hAnsi="Trebuchet MS"/>
              </w:rPr>
              <w:t xml:space="preserve"> – Promovarea voluntariatului în teritoriul SDL</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Campanie de promovare a activităților de voluntariat în randul elevilor din școlile de pe teritoriul SDL</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r>
              <w:rPr>
                <w:rFonts w:ascii="Trebuchet MS" w:hAnsi="Trebuchet MS"/>
              </w:rPr>
              <w:t>100 de copii din cele 2 ZUM uri de pe teritoriul SDL</w:t>
            </w:r>
          </w:p>
        </w:tc>
      </w:tr>
      <w:tr>
        <w:tc>
          <w:tcPr>
            <w:tcW w:w="828" w:type="dxa"/>
          </w:tcPr>
          <w:p>
            <w:pPr>
              <w:rPr>
                <w:rFonts w:ascii="Trebuchet MS" w:hAnsi="Trebuchet MS"/>
              </w:rPr>
            </w:pPr>
            <w:r>
              <w:rPr>
                <w:rFonts w:ascii="Trebuchet MS" w:hAnsi="Trebuchet MS"/>
              </w:rPr>
              <w:t>16</w:t>
            </w:r>
          </w:p>
        </w:tc>
        <w:tc>
          <w:tcPr>
            <w:tcW w:w="3792" w:type="dxa"/>
          </w:tcPr>
          <w:p>
            <w:pPr>
              <w:jc w:val="both"/>
              <w:rPr>
                <w:rFonts w:ascii="Trebuchet MS" w:hAnsi="Trebuchet MS"/>
              </w:rPr>
            </w:pPr>
            <w:r>
              <w:rPr>
                <w:rFonts w:ascii="Trebuchet MS" w:hAnsi="Trebuchet MS"/>
                <w:b/>
                <w:color w:val="1F497D" w:themeColor="text2"/>
              </w:rPr>
              <w:t>Măsura 17</w:t>
            </w:r>
            <w:r>
              <w:rPr>
                <w:rFonts w:ascii="Trebuchet MS" w:hAnsi="Trebuchet MS"/>
              </w:rPr>
              <w:t xml:space="preserve"> – Activități intergeneratii</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Intervenție POCU</w:t>
            </w:r>
            <w:r>
              <w:rPr>
                <w:rFonts w:ascii="Trebuchet MS" w:hAnsi="Trebuchet MS"/>
              </w:rPr>
              <w:t xml:space="preserve"> – Campanii de sprijin reciproc, intre copiii/tinerii si pensionarii din teritoriul SDL</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r>
              <w:rPr>
                <w:rFonts w:ascii="Trebuchet MS" w:hAnsi="Trebuchet MS"/>
              </w:rPr>
              <w:t>Cel putin 60 de copii si 30 de batrani din cele doua ZUM-uri si teritoriul SDL</w:t>
            </w:r>
          </w:p>
        </w:tc>
      </w:tr>
      <w:tr>
        <w:tc>
          <w:tcPr>
            <w:tcW w:w="828" w:type="dxa"/>
          </w:tcPr>
          <w:p>
            <w:pPr>
              <w:rPr>
                <w:rFonts w:ascii="Trebuchet MS" w:hAnsi="Trebuchet MS"/>
              </w:rPr>
            </w:pPr>
            <w:r>
              <w:rPr>
                <w:rFonts w:ascii="Trebuchet MS" w:hAnsi="Trebuchet MS"/>
              </w:rPr>
              <w:t>17</w:t>
            </w:r>
          </w:p>
        </w:tc>
        <w:tc>
          <w:tcPr>
            <w:tcW w:w="3792" w:type="dxa"/>
          </w:tcPr>
          <w:p>
            <w:pPr>
              <w:jc w:val="both"/>
              <w:rPr>
                <w:rFonts w:ascii="Trebuchet MS" w:hAnsi="Trebuchet MS"/>
              </w:rPr>
            </w:pPr>
            <w:r>
              <w:rPr>
                <w:rFonts w:ascii="Trebuchet MS" w:hAnsi="Trebuchet MS"/>
                <w:b/>
                <w:color w:val="1F497D" w:themeColor="text2"/>
              </w:rPr>
              <w:t>Măsura 18</w:t>
            </w:r>
            <w:r>
              <w:rPr>
                <w:rFonts w:ascii="Trebuchet MS" w:hAnsi="Trebuchet MS"/>
              </w:rPr>
              <w:t xml:space="preserve"> – Cresterea coeziunii sociale si scaderea segregarii la nivelul teritoriului SDL</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p>
        </w:tc>
      </w:tr>
      <w:tr>
        <w:tc>
          <w:tcPr>
            <w:tcW w:w="828" w:type="dxa"/>
          </w:tcPr>
          <w:p>
            <w:pPr>
              <w:rPr>
                <w:rFonts w:ascii="Trebuchet MS" w:hAnsi="Trebuchet MS"/>
              </w:rPr>
            </w:pPr>
          </w:p>
        </w:tc>
        <w:tc>
          <w:tcPr>
            <w:tcW w:w="3792" w:type="dxa"/>
          </w:tcPr>
          <w:p>
            <w:pPr>
              <w:jc w:val="both"/>
              <w:rPr>
                <w:rFonts w:ascii="Trebuchet MS" w:hAnsi="Trebuchet MS"/>
              </w:rPr>
            </w:pPr>
            <w:r>
              <w:rPr>
                <w:rFonts w:ascii="Trebuchet MS" w:hAnsi="Trebuchet MS"/>
                <w:b/>
              </w:rPr>
              <w:t>Interventie POCU –</w:t>
            </w:r>
            <w:r>
              <w:rPr>
                <w:rFonts w:ascii="Trebuchet MS" w:hAnsi="Trebuchet MS"/>
              </w:rPr>
              <w:t xml:space="preserve"> Evenimente de promovare a multiculturalitatii pe teritoriul SDL intre romani, rromi, evrei, armeni, lipoveni</w:t>
            </w:r>
          </w:p>
        </w:tc>
        <w:tc>
          <w:tcPr>
            <w:tcW w:w="2311" w:type="dxa"/>
          </w:tcPr>
          <w:p>
            <w:pPr>
              <w:rPr>
                <w:rFonts w:ascii="Trebuchet MS" w:hAnsi="Trebuchet MS"/>
              </w:rPr>
            </w:pPr>
            <w:r>
              <w:rPr>
                <w:rFonts w:ascii="Trebuchet MS" w:hAnsi="Trebuchet MS"/>
              </w:rPr>
              <w:t>OS.7</w:t>
            </w:r>
          </w:p>
        </w:tc>
        <w:tc>
          <w:tcPr>
            <w:tcW w:w="2311" w:type="dxa"/>
          </w:tcPr>
          <w:p>
            <w:pPr>
              <w:rPr>
                <w:rFonts w:ascii="Trebuchet MS" w:hAnsi="Trebuchet MS"/>
              </w:rPr>
            </w:pPr>
            <w:r>
              <w:rPr>
                <w:rFonts w:ascii="Trebuchet MS" w:hAnsi="Trebuchet MS"/>
              </w:rPr>
              <w:t>Minim 300 de persoane din intreg mun. Botosani, din cele doua ZUM-uri si teritoriul SDL</w:t>
            </w:r>
          </w:p>
        </w:tc>
      </w:tr>
    </w:tbl>
    <w:p>
      <w:pPr>
        <w:spacing w:after="120" w:line="240" w:lineRule="auto"/>
        <w:jc w:val="both"/>
        <w:rPr>
          <w:rFonts w:ascii="Trebuchet MS" w:hAnsi="Trebuchet MS" w:cs="Calibri"/>
          <w:lang w:val="ro-RO"/>
        </w:rPr>
      </w:pPr>
    </w:p>
    <w:p>
      <w:pPr>
        <w:pStyle w:val="Heading2"/>
        <w:spacing w:before="0" w:line="240" w:lineRule="auto"/>
        <w:jc w:val="both"/>
        <w:rPr>
          <w:rFonts w:ascii="Trebuchet MS" w:hAnsi="Trebuchet MS"/>
          <w:i/>
          <w:noProof/>
          <w:color w:val="auto"/>
        </w:rPr>
      </w:pPr>
      <w:bookmarkStart w:id="10" w:name="_Toc41298478"/>
      <w:r>
        <w:rPr>
          <w:rFonts w:ascii="Trebuchet MS" w:hAnsi="Trebuchet MS"/>
          <w:i/>
          <w:noProof/>
          <w:color w:val="auto"/>
        </w:rPr>
        <w:t>Subcapitolul 2.3 Principalele reglementări europene și naționale precum și alte documente programatice</w:t>
      </w:r>
      <w:bookmarkEnd w:id="10"/>
    </w:p>
    <w:p>
      <w:pPr>
        <w:spacing w:after="0" w:line="240" w:lineRule="auto"/>
        <w:jc w:val="both"/>
        <w:rPr>
          <w:rFonts w:ascii="Trebuchet MS" w:eastAsia="Times New Roman" w:hAnsi="Trebuchet MS"/>
          <w:b/>
          <w:sz w:val="24"/>
          <w:szCs w:val="24"/>
          <w:lang w:val="ro-RO"/>
        </w:rPr>
      </w:pPr>
    </w:p>
    <w:p>
      <w:pPr>
        <w:numPr>
          <w:ilvl w:val="0"/>
          <w:numId w:val="1"/>
        </w:numPr>
        <w:spacing w:after="120" w:line="240" w:lineRule="auto"/>
        <w:jc w:val="both"/>
        <w:rPr>
          <w:rFonts w:ascii="Trebuchet MS" w:eastAsia="Times New Roman" w:hAnsi="Trebuchet MS" w:cs="Calibri"/>
          <w:color w:val="000000"/>
          <w:lang w:val="ro-RO"/>
        </w:rPr>
      </w:pPr>
      <w:r>
        <w:rPr>
          <w:rFonts w:ascii="Trebuchet MS" w:eastAsia="Times New Roman" w:hAnsi="Trebuchet MS" w:cs="Calibri"/>
          <w:color w:val="000000"/>
          <w:lang w:val="ro-RO"/>
        </w:rPr>
        <w:t xml:space="preserve">Contractul de finanțare nr POCU/390/5/1/123328,7653 din 14.09.2018 încheiat între încheiat între MFE-AMPOCU/OI POCU responsabil și </w:t>
      </w:r>
      <w:r>
        <w:rPr>
          <w:rFonts w:ascii="Trebuchet MS" w:eastAsia="Times New Roman" w:hAnsi="Trebuchet MS" w:cs="Calibri"/>
          <w:iCs/>
          <w:color w:val="000000"/>
          <w:lang w:val="ro-RO"/>
        </w:rPr>
        <w:t>Asociația Grup de Acțiune Locală Botosani pentru Viitor, pentru implementarea proiectului ”</w:t>
      </w:r>
      <w:r>
        <w:rPr>
          <w:rFonts w:ascii="Trebuchet MS" w:eastAsia="Times New Roman" w:hAnsi="Trebuchet MS" w:cs="Calibri"/>
          <w:iCs/>
          <w:color w:val="000000"/>
        </w:rPr>
        <w:t>Botosani pentru Viitor</w:t>
      </w:r>
      <w:r>
        <w:rPr>
          <w:rFonts w:ascii="Trebuchet MS" w:eastAsia="Times New Roman" w:hAnsi="Trebuchet MS" w:cs="Calibri"/>
          <w:iCs/>
          <w:color w:val="000000"/>
          <w:lang w:val="ro-RO"/>
        </w:rPr>
        <w:t>”- cod SMIS 2014+: 123328</w:t>
      </w:r>
    </w:p>
    <w:p>
      <w:pPr>
        <w:numPr>
          <w:ilvl w:val="0"/>
          <w:numId w:val="1"/>
        </w:numPr>
        <w:spacing w:after="120" w:line="240" w:lineRule="auto"/>
        <w:jc w:val="both"/>
        <w:rPr>
          <w:rFonts w:ascii="Trebuchet MS" w:eastAsia="Times New Roman" w:hAnsi="Trebuchet MS" w:cs="Calibri"/>
          <w:lang w:val="ro-RO"/>
        </w:rPr>
      </w:pPr>
      <w:bookmarkStart w:id="11" w:name="_Hlk20214072"/>
      <w:r>
        <w:rPr>
          <w:rFonts w:ascii="Trebuchet MS" w:eastAsia="Times New Roman" w:hAnsi="Trebuchet MS" w:cs="Calibri"/>
          <w:lang w:val="ro-RO"/>
        </w:rPr>
        <w:t xml:space="preserve">Strategia de Dezvoltare Locală a </w:t>
      </w:r>
      <w:r>
        <w:rPr>
          <w:rFonts w:ascii="Trebuchet MS" w:eastAsia="Times New Roman" w:hAnsi="Trebuchet MS" w:cs="Calibri"/>
          <w:color w:val="000000"/>
          <w:lang w:val="ro-RO"/>
        </w:rPr>
        <w:t>”</w:t>
      </w:r>
      <w:r>
        <w:rPr>
          <w:rFonts w:ascii="Trebuchet MS" w:hAnsi="Trebuchet MS" w:cs="Calibri"/>
          <w:lang w:val="ro-RO"/>
        </w:rPr>
        <w:t>GAL Botosani pentru viitor</w:t>
      </w:r>
      <w:r>
        <w:rPr>
          <w:rFonts w:ascii="Trebuchet MS" w:eastAsia="Times New Roman" w:hAnsi="Trebuchet MS" w:cs="Calibri"/>
          <w:color w:val="000000"/>
          <w:lang w:val="ro-RO"/>
        </w:rPr>
        <w:t>”</w:t>
      </w:r>
    </w:p>
    <w:bookmarkEnd w:id="11"/>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Regulamentul (UE) nr. 1304/2013 al Parlamentului European și al Consiliului din 17 decembrie 2013 privind Fondul social european și de abrogare a Regulamentului (CE) nr. 1081/2006 al Consiliului;</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Orientări pentru Grupurile de Acțiune Locală privind implementarea Strategiilor de Dezvoltare Locală la nivelul orașelor cu peste 20.000 locuitori – Etapa a IIIa a mecanismului DLRC</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lastRenderedPageBreak/>
        <w:t>O.U.G. nr. 66/2011 privind prevenirea, constatarea şisancţionarea neregulilor apărute în obţinereaşi utilizarea fondurilor europene şi/sau a fondurilor publice naţionale aferente acestora.</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POR 2014-2020 - Axa 9 Sprijinirea regenerării economice și sociale a comunităților defavorizate din mediul urban</w:t>
      </w:r>
    </w:p>
    <w:p>
      <w:pPr>
        <w:numPr>
          <w:ilvl w:val="0"/>
          <w:numId w:val="1"/>
        </w:numPr>
        <w:spacing w:after="120" w:line="240" w:lineRule="auto"/>
        <w:ind w:left="714" w:hanging="357"/>
        <w:jc w:val="both"/>
        <w:rPr>
          <w:rFonts w:ascii="Trebuchet MS" w:eastAsia="Times New Roman" w:hAnsi="Trebuchet MS" w:cs="Calibri"/>
          <w:lang w:val="ro-RO"/>
        </w:rPr>
      </w:pPr>
      <w:r>
        <w:rPr>
          <w:rFonts w:ascii="Trebuchet MS" w:eastAsia="Times New Roman" w:hAnsi="Trebuchet MS" w:cs="Calibri"/>
          <w:lang w:val="ro-RO"/>
        </w:rPr>
        <w:t>Alte prevederi comunitare și naționale incidente.</w:t>
      </w:r>
    </w:p>
    <w:p>
      <w:pPr>
        <w:pStyle w:val="Heading1"/>
        <w:spacing w:after="120" w:line="240" w:lineRule="auto"/>
        <w:jc w:val="center"/>
        <w:rPr>
          <w:rFonts w:ascii="Trebuchet MS" w:hAnsi="Trebuchet MS" w:cs="Calibri"/>
          <w:sz w:val="22"/>
          <w:szCs w:val="22"/>
          <w:lang w:val="ro-RO"/>
        </w:rPr>
        <w:sectPr>
          <w:headerReference w:type="default" r:id="rId8"/>
          <w:footerReference w:type="default" r:id="rId9"/>
          <w:headerReference w:type="first" r:id="rId10"/>
          <w:pgSz w:w="11906" w:h="16838" w:code="9"/>
          <w:pgMar w:top="1134" w:right="851" w:bottom="992" w:left="1418" w:header="907" w:footer="850" w:gutter="0"/>
          <w:cols w:space="720"/>
          <w:docGrid w:linePitch="360"/>
        </w:sectPr>
      </w:pPr>
      <w:bookmarkStart w:id="12" w:name="_Toc489006348"/>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rPr>
      </w:pPr>
      <w:bookmarkStart w:id="13" w:name="_Toc41298479"/>
      <w:bookmarkEnd w:id="12"/>
      <w:r>
        <w:rPr>
          <w:rFonts w:ascii="Trebuchet MS" w:hAnsi="Trebuchet MS" w:cs="Arial"/>
          <w:b/>
          <w:sz w:val="28"/>
          <w:szCs w:val="28"/>
        </w:rPr>
        <w:lastRenderedPageBreak/>
        <w:t xml:space="preserve">CAPITOLUL 3 </w:t>
      </w:r>
      <w:r>
        <w:rPr>
          <w:rFonts w:ascii="Trebuchet MS" w:hAnsi="Trebuchet MS" w:cs="Calibri"/>
          <w:b/>
          <w:lang w:val="ro-RO"/>
        </w:rPr>
        <w:t xml:space="preserve">Condiții specifice pentru apelul </w:t>
      </w:r>
      <w:r>
        <w:rPr>
          <w:rFonts w:ascii="Trebuchet MS" w:hAnsi="Trebuchet MS" w:cs="Calibri"/>
          <w:b/>
        </w:rPr>
        <w:t xml:space="preserve">de </w:t>
      </w:r>
      <w:proofErr w:type="spellStart"/>
      <w:r>
        <w:rPr>
          <w:rFonts w:ascii="Trebuchet MS" w:hAnsi="Trebuchet MS" w:cs="Calibri"/>
          <w:b/>
        </w:rPr>
        <w:t>fișe</w:t>
      </w:r>
      <w:proofErr w:type="spellEnd"/>
      <w:r>
        <w:rPr>
          <w:rFonts w:ascii="Trebuchet MS" w:hAnsi="Trebuchet MS" w:cs="Calibri"/>
          <w:b/>
        </w:rPr>
        <w:t xml:space="preserve"> de </w:t>
      </w:r>
      <w:proofErr w:type="spellStart"/>
      <w:r>
        <w:rPr>
          <w:rFonts w:ascii="Trebuchet MS" w:hAnsi="Trebuchet MS" w:cs="Calibri"/>
          <w:b/>
        </w:rPr>
        <w:t>proiecte</w:t>
      </w:r>
      <w:proofErr w:type="spellEnd"/>
      <w:r>
        <w:rPr>
          <w:rFonts w:ascii="Trebuchet MS" w:hAnsi="Trebuchet MS" w:cs="Calibri"/>
          <w:b/>
        </w:rPr>
        <w:t xml:space="preserve"> </w:t>
      </w:r>
      <w:r>
        <w:rPr>
          <w:rFonts w:ascii="Trebuchet MS" w:hAnsi="Trebuchet MS" w:cs="Calibri"/>
          <w:b/>
          <w:lang w:val="ro-RO"/>
        </w:rPr>
        <w:t>POR/</w:t>
      </w:r>
      <w:r>
        <w:rPr>
          <w:rFonts w:ascii="Trebuchet MS" w:hAnsi="Trebuchet MS" w:cs="Calibri"/>
          <w:b/>
        </w:rPr>
        <w:t>GAL BOTOSANI PENTRU VIITOR</w:t>
      </w:r>
      <w:r>
        <w:rPr>
          <w:rFonts w:ascii="Trebuchet MS" w:hAnsi="Trebuchet MS" w:cs="Calibri"/>
          <w:b/>
          <w:lang w:val="ro-RO"/>
        </w:rPr>
        <w:t>/2020/9/3/OS9.1</w:t>
      </w:r>
      <w:bookmarkEnd w:id="13"/>
    </w:p>
    <w:p>
      <w:pPr>
        <w:pStyle w:val="Heading2"/>
        <w:spacing w:before="0" w:line="240" w:lineRule="auto"/>
        <w:jc w:val="both"/>
        <w:rPr>
          <w:rFonts w:ascii="Trebuchet MS" w:hAnsi="Trebuchet MS"/>
          <w:i/>
          <w:noProof/>
          <w:color w:val="auto"/>
        </w:rPr>
      </w:pPr>
    </w:p>
    <w:p>
      <w:pPr>
        <w:pStyle w:val="Heading2"/>
        <w:spacing w:before="0" w:line="240" w:lineRule="auto"/>
        <w:jc w:val="both"/>
        <w:rPr>
          <w:rFonts w:ascii="Trebuchet MS" w:hAnsi="Trebuchet MS"/>
          <w:i/>
          <w:noProof/>
          <w:color w:val="auto"/>
        </w:rPr>
      </w:pPr>
      <w:bookmarkStart w:id="14" w:name="_Toc41298480"/>
      <w:r>
        <w:rPr>
          <w:rFonts w:ascii="Trebuchet MS" w:hAnsi="Trebuchet MS"/>
          <w:i/>
          <w:noProof/>
          <w:color w:val="auto"/>
        </w:rPr>
        <w:t>Subcapitolul 3.1 Axa prioritara, aria de implementare, indicatori</w:t>
      </w:r>
      <w:bookmarkEnd w:id="14"/>
    </w:p>
    <w:p>
      <w:pPr>
        <w:spacing w:after="0" w:line="240" w:lineRule="auto"/>
        <w:rPr>
          <w:rFonts w:ascii="Trebuchet MS" w:hAnsi="Trebuchet MS"/>
        </w:rPr>
      </w:pPr>
    </w:p>
    <w:p>
      <w:pPr>
        <w:pStyle w:val="Heading3"/>
        <w:spacing w:before="0" w:line="240" w:lineRule="auto"/>
        <w:jc w:val="both"/>
        <w:rPr>
          <w:rFonts w:ascii="Trebuchet MS" w:hAnsi="Trebuchet MS"/>
          <w:b w:val="0"/>
          <w:bCs w:val="0"/>
          <w:i/>
          <w:noProof/>
          <w:color w:val="auto"/>
        </w:rPr>
      </w:pPr>
      <w:bookmarkStart w:id="15" w:name="_Toc41298481"/>
      <w:r>
        <w:rPr>
          <w:rFonts w:ascii="Trebuchet MS" w:hAnsi="Trebuchet MS"/>
          <w:bCs w:val="0"/>
          <w:i/>
          <w:noProof/>
          <w:color w:val="auto"/>
        </w:rPr>
        <w:t>Sec</w:t>
      </w:r>
      <w:r>
        <w:rPr>
          <w:rFonts w:ascii="Trebuchet MS" w:hAnsi="Trebuchet MS" w:cs="Calibri"/>
          <w:i/>
          <w:color w:val="auto"/>
          <w:lang w:val="ro-RO"/>
        </w:rPr>
        <w:t>ț</w:t>
      </w:r>
      <w:r>
        <w:rPr>
          <w:rFonts w:ascii="Trebuchet MS" w:hAnsi="Trebuchet MS"/>
          <w:bCs w:val="0"/>
          <w:i/>
          <w:noProof/>
          <w:color w:val="auto"/>
        </w:rPr>
        <w:t>iunea3.1.1</w:t>
      </w:r>
      <w:r>
        <w:rPr>
          <w:rFonts w:ascii="Trebuchet MS" w:hAnsi="Trebuchet MS"/>
          <w:i/>
          <w:color w:val="auto"/>
        </w:rPr>
        <w:t xml:space="preserve">Axa </w:t>
      </w:r>
      <w:r>
        <w:rPr>
          <w:rFonts w:ascii="Trebuchet MS" w:hAnsi="Trebuchet MS" w:cs="Calibri"/>
          <w:i/>
          <w:color w:val="auto"/>
          <w:lang w:val="ro-RO"/>
        </w:rPr>
        <w:t>prioritară, obiectivele specifice POR/SDL, rezultat așteptat</w:t>
      </w:r>
      <w:bookmarkEnd w:id="15"/>
    </w:p>
    <w:p>
      <w:pPr>
        <w:spacing w:after="0" w:line="240" w:lineRule="auto"/>
        <w:rPr>
          <w:rFonts w:ascii="Trebuchet MS" w:hAnsi="Trebuchet MS"/>
          <w:b/>
          <w:bCs/>
          <w:sz w:val="24"/>
          <w:szCs w:val="24"/>
          <w:lang w:val="ro-RO"/>
        </w:rPr>
      </w:pPr>
    </w:p>
    <w:p>
      <w:pPr>
        <w:spacing w:after="120" w:line="240" w:lineRule="auto"/>
        <w:jc w:val="both"/>
        <w:rPr>
          <w:rFonts w:ascii="Trebuchet MS" w:hAnsi="Trebuchet MS" w:cs="Calibri"/>
          <w:lang w:val="ro-RO"/>
        </w:rPr>
      </w:pPr>
      <w:r>
        <w:rPr>
          <w:rFonts w:ascii="Trebuchet MS" w:hAnsi="Trebuchet MS" w:cs="Calibri"/>
          <w:lang w:val="ro-RO"/>
        </w:rPr>
        <w:t>Pentru a putea obține finanțare în cadrul acestui apel, fișele de proiecte trebuie să se încadreze în:</w:t>
      </w:r>
    </w:p>
    <w:p>
      <w:pPr>
        <w:numPr>
          <w:ilvl w:val="0"/>
          <w:numId w:val="2"/>
        </w:numPr>
        <w:shd w:val="clear" w:color="auto" w:fill="FFFFFF"/>
        <w:spacing w:after="120" w:line="240" w:lineRule="auto"/>
        <w:jc w:val="both"/>
        <w:rPr>
          <w:rFonts w:ascii="Trebuchet MS" w:hAnsi="Trebuchet MS" w:cs="Calibri"/>
          <w:b/>
          <w:bCs/>
          <w:lang w:val="ro-RO"/>
        </w:rPr>
      </w:pPr>
      <w:r>
        <w:rPr>
          <w:rFonts w:ascii="Trebuchet MS" w:hAnsi="Trebuchet MS" w:cs="Calibri"/>
          <w:b/>
          <w:bCs/>
          <w:lang w:val="ro-RO"/>
        </w:rPr>
        <w:t>Programul Operațional Regional 2014-2020</w:t>
      </w:r>
    </w:p>
    <w:p>
      <w:pPr>
        <w:numPr>
          <w:ilvl w:val="1"/>
          <w:numId w:val="2"/>
        </w:numPr>
        <w:shd w:val="clear" w:color="auto" w:fill="FFFFFF"/>
        <w:spacing w:after="120" w:line="240" w:lineRule="auto"/>
        <w:jc w:val="both"/>
        <w:rPr>
          <w:rFonts w:ascii="Trebuchet MS" w:hAnsi="Trebuchet MS" w:cs="Calibri"/>
          <w:lang w:val="ro-RO"/>
        </w:rPr>
      </w:pPr>
      <w:r>
        <w:rPr>
          <w:rFonts w:ascii="Trebuchet MS" w:hAnsi="Trebuchet MS" w:cs="Calibri"/>
          <w:b/>
          <w:lang w:val="ro-RO"/>
        </w:rPr>
        <w:t xml:space="preserve">Axa prioritară 9. </w:t>
      </w:r>
      <w:r>
        <w:rPr>
          <w:rFonts w:ascii="Trebuchet MS" w:hAnsi="Trebuchet MS" w:cs="Calibri"/>
          <w:lang w:val="ro-RO"/>
        </w:rPr>
        <w:t>Sprijinirea regenerării economice și sociale a comunităților defavorizate din mediul urban,</w:t>
      </w:r>
    </w:p>
    <w:p>
      <w:pPr>
        <w:numPr>
          <w:ilvl w:val="1"/>
          <w:numId w:val="2"/>
        </w:numPr>
        <w:shd w:val="clear" w:color="auto" w:fill="FFFFFF"/>
        <w:spacing w:after="120" w:line="240" w:lineRule="auto"/>
        <w:jc w:val="both"/>
        <w:rPr>
          <w:rFonts w:ascii="Trebuchet MS" w:hAnsi="Trebuchet MS" w:cs="Calibri"/>
          <w:lang w:val="ro-RO"/>
        </w:rPr>
      </w:pPr>
      <w:r>
        <w:rPr>
          <w:rFonts w:ascii="Trebuchet MS" w:hAnsi="Trebuchet MS" w:cs="Calibri"/>
          <w:b/>
          <w:lang w:val="ro-RO"/>
        </w:rPr>
        <w:t xml:space="preserve">Prioritate de investiții 9.1. </w:t>
      </w:r>
      <w:r>
        <w:rPr>
          <w:rFonts w:ascii="Trebuchet MS" w:hAnsi="Trebuchet MS" w:cs="Calibri"/>
          <w:bCs/>
          <w:lang w:val="ro-RO"/>
        </w:rPr>
        <w:t>Dezvoltare locală plasată sub responsabilitatea comunităţii</w:t>
      </w:r>
    </w:p>
    <w:p>
      <w:pPr>
        <w:numPr>
          <w:ilvl w:val="1"/>
          <w:numId w:val="2"/>
        </w:numPr>
        <w:shd w:val="clear" w:color="auto" w:fill="FFFFFF"/>
        <w:spacing w:after="120" w:line="240" w:lineRule="auto"/>
        <w:jc w:val="both"/>
        <w:rPr>
          <w:rFonts w:ascii="Trebuchet MS" w:hAnsi="Trebuchet MS" w:cs="Calibri"/>
          <w:b/>
          <w:bCs/>
          <w:lang w:val="ro-RO"/>
        </w:rPr>
      </w:pPr>
      <w:r>
        <w:rPr>
          <w:rFonts w:ascii="Trebuchet MS" w:hAnsi="Trebuchet MS" w:cs="Calibri"/>
          <w:b/>
          <w:lang w:val="ro-RO"/>
        </w:rPr>
        <w:t xml:space="preserve">Obiectivul specific 9.1. </w:t>
      </w:r>
      <w:r>
        <w:rPr>
          <w:rFonts w:ascii="Trebuchet MS" w:hAnsi="Trebuchet MS" w:cs="Calibri"/>
          <w:lang w:val="ro-RO"/>
        </w:rPr>
        <w:t>Reducerea numărului de persoane aflate în risc de sărăcie şi excluziune socială, prin măsuri integrate</w:t>
      </w:r>
    </w:p>
    <w:p>
      <w:pPr>
        <w:numPr>
          <w:ilvl w:val="0"/>
          <w:numId w:val="2"/>
        </w:numPr>
        <w:shd w:val="clear" w:color="auto" w:fill="FFFFFF"/>
        <w:spacing w:after="120" w:line="240" w:lineRule="auto"/>
        <w:jc w:val="both"/>
        <w:rPr>
          <w:rFonts w:ascii="Trebuchet MS" w:hAnsi="Trebuchet MS" w:cs="Calibri"/>
          <w:b/>
          <w:bCs/>
          <w:lang w:val="ro-RO"/>
        </w:rPr>
      </w:pPr>
      <w:r>
        <w:rPr>
          <w:rFonts w:ascii="Trebuchet MS" w:hAnsi="Trebuchet MS" w:cs="Calibri"/>
          <w:b/>
          <w:bCs/>
          <w:lang w:val="ro-RO"/>
        </w:rPr>
        <w:t xml:space="preserve">Strategia de Dezvoltare a </w:t>
      </w:r>
      <w:bookmarkStart w:id="16" w:name="_Hlk21085238"/>
      <w:r>
        <w:rPr>
          <w:rFonts w:ascii="Trebuchet MS" w:hAnsi="Trebuchet MS" w:cs="Calibri"/>
          <w:b/>
          <w:bCs/>
          <w:iCs/>
          <w:lang w:val="ro-RO"/>
        </w:rPr>
        <w:t>”</w:t>
      </w:r>
      <w:r>
        <w:rPr>
          <w:rFonts w:ascii="Trebuchet MS" w:hAnsi="Trebuchet MS" w:cs="Calibri"/>
          <w:b/>
          <w:bCs/>
          <w:lang w:val="ro-RO"/>
        </w:rPr>
        <w:t>GAL Botosani pentru Viitor</w:t>
      </w:r>
      <w:r>
        <w:rPr>
          <w:rFonts w:ascii="Trebuchet MS" w:hAnsi="Trebuchet MS" w:cs="Calibri"/>
          <w:b/>
          <w:bCs/>
          <w:iCs/>
          <w:lang w:val="ro-RO"/>
        </w:rPr>
        <w:t>”</w:t>
      </w:r>
      <w:bookmarkEnd w:id="16"/>
      <w:r>
        <w:rPr>
          <w:rFonts w:ascii="Trebuchet MS" w:hAnsi="Trebuchet MS" w:cs="Calibri"/>
          <w:b/>
          <w:bCs/>
          <w:iCs/>
          <w:lang w:val="ro-RO"/>
        </w:rPr>
        <w:t>are urmatoarele obiective specifice pentru interventiile lansate prin acest ghid:</w:t>
      </w:r>
    </w:p>
    <w:p>
      <w:pPr>
        <w:pStyle w:val="ListParagraph"/>
        <w:numPr>
          <w:ilvl w:val="0"/>
          <w:numId w:val="2"/>
        </w:num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2</w:t>
      </w:r>
      <w:r>
        <w:rPr>
          <w:rFonts w:ascii="Trebuchet MS" w:hAnsi="Trebuchet MS"/>
          <w:sz w:val="24"/>
          <w:szCs w:val="24"/>
          <w:lang w:val="ro-RO"/>
        </w:rPr>
        <w:t xml:space="preserve"> – Creșterea gradului de siguranță al cetățenilor și îmbunătățirea aspectului peisagistic al teritoriului SDL prin reamenajarea spațiilor publice urbane în 3 ani;</w:t>
      </w:r>
    </w:p>
    <w:p>
      <w:pPr>
        <w:pStyle w:val="ListParagraph"/>
        <w:numPr>
          <w:ilvl w:val="0"/>
          <w:numId w:val="2"/>
        </w:num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3</w:t>
      </w:r>
      <w:r>
        <w:rPr>
          <w:rFonts w:ascii="Trebuchet MS" w:hAnsi="Trebuchet MS"/>
          <w:sz w:val="24"/>
          <w:szCs w:val="24"/>
          <w:lang w:val="ro-RO"/>
        </w:rPr>
        <w:t xml:space="preserve"> – Îmbunătățirea condițiilor de locuire pentru minimum 100 persoane în 3 ani</w:t>
      </w:r>
    </w:p>
    <w:p>
      <w:pPr>
        <w:pStyle w:val="ListParagraph"/>
        <w:numPr>
          <w:ilvl w:val="0"/>
          <w:numId w:val="2"/>
        </w:num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4</w:t>
      </w:r>
      <w:r>
        <w:rPr>
          <w:rFonts w:ascii="Trebuchet MS" w:hAnsi="Trebuchet MS"/>
          <w:sz w:val="24"/>
          <w:szCs w:val="24"/>
          <w:lang w:val="ro-RO"/>
        </w:rPr>
        <w:t xml:space="preserve"> – Creșterea gradului de ocupare prin furnizarea de servicii de ocupare, calificare și angajare pentru 420 de persoane pe o perioadă de 3 ani;</w:t>
      </w:r>
    </w:p>
    <w:p>
      <w:pPr>
        <w:pStyle w:val="ListParagraph"/>
        <w:numPr>
          <w:ilvl w:val="0"/>
          <w:numId w:val="2"/>
        </w:num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6</w:t>
      </w:r>
      <w:r>
        <w:rPr>
          <w:rFonts w:ascii="Trebuchet MS" w:hAnsi="Trebuchet MS"/>
          <w:sz w:val="24"/>
          <w:szCs w:val="24"/>
          <w:lang w:val="ro-RO"/>
        </w:rPr>
        <w:t xml:space="preserve"> – Dezvoltarea unui sistem de servicii sociale integrate, individualizate axat pe nevoile persoanelor marginalizate pentru cel puțin 840 de persoane, pe o perioadă de 3 ani;</w:t>
      </w:r>
    </w:p>
    <w:p>
      <w:pPr>
        <w:pStyle w:val="ListParagraph"/>
        <w:numPr>
          <w:ilvl w:val="0"/>
          <w:numId w:val="2"/>
        </w:num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7</w:t>
      </w:r>
      <w:r>
        <w:rPr>
          <w:rFonts w:ascii="Trebuchet MS" w:hAnsi="Trebuchet MS"/>
          <w:sz w:val="24"/>
          <w:szCs w:val="24"/>
          <w:lang w:val="ro-RO"/>
        </w:rPr>
        <w:t xml:space="preserve"> – Îmbunătățirea imaginii zonei și creșterea gradului de coeziune socială pentru peste 500 locuitori din teritoriul SDL, pe o perioadă de 3 ani.</w:t>
      </w:r>
    </w:p>
    <w:p>
      <w:pPr>
        <w:pStyle w:val="Heading5"/>
      </w:pPr>
    </w:p>
    <w:p>
      <w:pPr>
        <w:spacing w:after="120" w:line="240" w:lineRule="auto"/>
        <w:jc w:val="both"/>
        <w:rPr>
          <w:rFonts w:ascii="Trebuchet MS" w:hAnsi="Trebuchet MS" w:cs="Calibri"/>
          <w:b/>
          <w:bCs/>
          <w:lang w:val="ro-RO"/>
        </w:rPr>
      </w:pPr>
      <w:r>
        <w:rPr>
          <w:rFonts w:ascii="Trebuchet MS" w:hAnsi="Trebuchet MS" w:cs="Calibri"/>
          <w:b/>
          <w:bCs/>
          <w:lang w:val="ro-RO"/>
        </w:rPr>
        <w:t>Rezultat așteptat</w:t>
      </w:r>
    </w:p>
    <w:p>
      <w:pPr>
        <w:spacing w:after="120" w:line="240" w:lineRule="auto"/>
        <w:jc w:val="both"/>
        <w:rPr>
          <w:rFonts w:ascii="Trebuchet MS" w:hAnsi="Trebuchet MS" w:cs="Calibri"/>
          <w:lang w:val="ro-RO"/>
        </w:rPr>
      </w:pPr>
      <w:r>
        <w:rPr>
          <w:rFonts w:ascii="Trebuchet MS" w:hAnsi="Trebuchet MS" w:cs="Calibri"/>
          <w:lang w:val="ro-RO"/>
        </w:rPr>
        <w:t>Principalul rezultat așteptat prin sprijinul financiar acordat în cadrul prezentului apel de fișe de proiecte îl reprezintă:</w:t>
      </w:r>
    </w:p>
    <w:p>
      <w:pPr>
        <w:spacing w:after="120" w:line="240" w:lineRule="auto"/>
        <w:jc w:val="both"/>
        <w:rPr>
          <w:rFonts w:ascii="Trebuchet MS" w:hAnsi="Trebuchet MS" w:cs="Calibri"/>
          <w:lang w:val="ro-RO"/>
        </w:rPr>
      </w:pPr>
      <w:r>
        <w:rPr>
          <w:rFonts w:ascii="Trebuchet MS" w:hAnsi="Trebuchet MS" w:cs="Calibri"/>
          <w:lang w:val="ro-RO"/>
        </w:rPr>
        <w:t>-</w:t>
      </w:r>
      <w:r>
        <w:rPr>
          <w:rFonts w:ascii="Trebuchet MS" w:hAnsi="Trebuchet MS" w:cs="Calibri"/>
          <w:lang w:val="ro-RO"/>
        </w:rPr>
        <w:tab/>
        <w:t xml:space="preserve">Număr redus de persoane aflate în risc de sărăcie sau excluziune socială din comunitățile marginalizate (roma și non-roma) din ZUM 2 Centrul Istoric si ZUM 1 Parcul </w:t>
      </w:r>
      <w:r>
        <w:rPr>
          <w:rFonts w:ascii="Trebuchet MS" w:hAnsi="Trebuchet MS" w:cs="Calibri"/>
          <w:lang w:val="ro-RO"/>
        </w:rPr>
        <w:lastRenderedPageBreak/>
        <w:t>Tineretului din mun.Botosani, cu accent pe cele cu populație aparținând minorității roma, prin implementarea de măsuri/ operațiuni integrate în contextul mecanismului DLRC.</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Intervenţiile din cadrul priorităţii de investiţii 9.1 vor fi aplicate în mod integrat, dezvoltarea infrastructurii fiind susținută de măsuri de creștere a capacității umane prin dezvoltarea de măsuri de tip FSE, conform Strategiior de Dezvoltare Locală a GAL-urilor selectate pentru finanțare.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Intervenţiile susţinute în cadrul acestei priorităţi vor beneficia de sprijin din POR 2014-2020 (Axa 9 - Sprijinirea regenerării economice și sociale a comunităților defavorizate din mediul urban, Prioritatea de investiții 9.1 - Dezvoltare locală plasată sub responsabilitatea comunităţii -DLRC) şi din POCU 2014-2020 (AP 5 – Dezvoltare locală plasată sub responsabilitatea comunităţii). </w:t>
      </w:r>
    </w:p>
    <w:p>
      <w:pPr>
        <w:spacing w:after="120" w:line="240" w:lineRule="auto"/>
        <w:jc w:val="both"/>
        <w:rPr>
          <w:rFonts w:ascii="Trebuchet MS" w:hAnsi="Trebuchet MS" w:cs="Calibri"/>
          <w:lang w:val="ro-RO"/>
        </w:rPr>
      </w:pPr>
      <w:r>
        <w:rPr>
          <w:rFonts w:ascii="Trebuchet MS" w:eastAsiaTheme="minorHAnsi" w:hAnsi="Trebuchet MS" w:cs="Trebuchet MS"/>
          <w:color w:val="000000"/>
          <w:lang w:val="ro-RO"/>
        </w:rPr>
        <w:t>Sprijinul pentru infrastructură pentru comunitățile care utilizează instrumentul - DLRC (în engleza, CLLD) va fi acordat în cazul zonelor urbane – cu o populație de peste 20.000 locuitori. Grupurile – ţintă vizate în contextul acestui obiectiv specific vor fi, în mod similar abordării POCU, cu prioritate: persoane expuse riscului de sărăcie (femeile, tinerii, persoanele din familii cu venituri reduse, persoanele fără adăpost, persoanele vârstnice şi persoanele cu dizabilităţi aflate în situaţii de dependenţă sau în risc de excluziune socială, copii aflaţi în situaţii de risc etc.), precum şi persoanele care suferă de forme de dependență (alcool, substanțe interzise etc), victimele violenței domestice, ale traficului de ființe umane și persoanele private de libertate și aflate în perioada de probațiune, precum şi persoanele defavorizate aparținând etniei rome.</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Comunitatea marginalizată se referă la populația în risc de sărăcie sau excluziune socială din una sau mai multe zone urbane marginalizate (ZUM) care, împreună cu zona urbană funcțională din care acestea fac parte, constituie teritoriul SDL, respectiv teritoriul vizat de intervențiile DLRC.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Prin zona urbană funcțională aferentă se înțelege zona existentă în jurul/ în proximitatea ZUM-urilor vizate de SDL, având un caracter unitar și funcțional, din punct de vedere social, economic, demografic, cultural etc.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Proiectele se vor implementa pe teritoriul SDL, în zonele urbane marginalizate și/sau zona urbană funcțională, așa cum au fost identificate in cadrul Strategiilor de Dezvoltare Locală selectate pentru finanțare.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În funcție de nevoile locale identificate, investițiile de tip FEDR menționate mai sus vor fi implementate în mod complementar și integrat cu investițiile de tip FSE dedicate populației zonei urbane marginalizate, măsuri de incluziune socială, formare profesională etc. </w:t>
      </w:r>
    </w:p>
    <w:p>
      <w:pPr>
        <w:numPr>
          <w:ilvl w:val="0"/>
          <w:numId w:val="3"/>
        </w:numPr>
        <w:spacing w:after="0" w:line="240" w:lineRule="auto"/>
        <w:ind w:left="284" w:hanging="284"/>
        <w:jc w:val="both"/>
        <w:rPr>
          <w:rFonts w:ascii="Trebuchet MS" w:hAnsi="Trebuchet MS"/>
        </w:rPr>
      </w:pPr>
      <w:r>
        <w:rPr>
          <w:rFonts w:ascii="Trebuchet MS" w:eastAsiaTheme="minorHAnsi" w:hAnsi="Trebuchet MS" w:cs="Trebuchet MS"/>
          <w:color w:val="000000"/>
          <w:lang w:val="ro-RO"/>
        </w:rPr>
        <w:t xml:space="preserve">Actiunile care se finanțează prin Axa Prioritară 5 din POCU 2014-2020 (OS 5.1) cuprind măsuri integrate destinate comunității marginalizate vizate de SDL, în următoarele domenii: </w:t>
      </w:r>
    </w:p>
    <w:p>
      <w:pPr>
        <w:numPr>
          <w:ilvl w:val="0"/>
          <w:numId w:val="3"/>
        </w:numPr>
        <w:spacing w:after="0" w:line="240" w:lineRule="auto"/>
        <w:ind w:left="284" w:hanging="284"/>
        <w:jc w:val="both"/>
        <w:rPr>
          <w:rFonts w:ascii="Trebuchet MS" w:hAnsi="Trebuchet MS"/>
        </w:rPr>
      </w:pPr>
      <w:r>
        <w:rPr>
          <w:rFonts w:ascii="Trebuchet MS" w:hAnsi="Trebuchet MS"/>
        </w:rPr>
        <w:t>accesul crescut şi participarea la educaţie, la piaţa muncii, la serviciile sociale şi medicale ale comunităţilo rmarginalizate ;</w:t>
      </w:r>
    </w:p>
    <w:p>
      <w:pPr>
        <w:numPr>
          <w:ilvl w:val="0"/>
          <w:numId w:val="3"/>
        </w:numPr>
        <w:spacing w:after="0" w:line="240" w:lineRule="auto"/>
        <w:ind w:left="284" w:hanging="284"/>
        <w:jc w:val="both"/>
        <w:rPr>
          <w:rFonts w:ascii="Trebuchet MS" w:hAnsi="Trebuchet MS"/>
        </w:rPr>
      </w:pPr>
      <w:r>
        <w:rPr>
          <w:rFonts w:ascii="Trebuchet MS" w:hAnsi="Trebuchet MS"/>
        </w:rPr>
        <w:t xml:space="preserve">condiţii de trai imbunătăţite pentru comunităţil marginalizate prin accesul la noiinfrastructuri sociale  , educaţionale , culturale şi de sănătate ; </w:t>
      </w:r>
    </w:p>
    <w:p>
      <w:pPr>
        <w:numPr>
          <w:ilvl w:val="0"/>
          <w:numId w:val="3"/>
        </w:numPr>
        <w:spacing w:after="0" w:line="240" w:lineRule="auto"/>
        <w:ind w:left="284" w:hanging="284"/>
        <w:jc w:val="both"/>
        <w:rPr>
          <w:rFonts w:ascii="Trebuchet MS" w:hAnsi="Trebuchet MS"/>
        </w:rPr>
      </w:pPr>
      <w:r>
        <w:rPr>
          <w:rFonts w:ascii="Trebuchet MS" w:hAnsi="Trebuchet MS"/>
        </w:rPr>
        <w:t>Spaţii urbane degradate ,utilizate eficient  in folosul comunităţii marginalizate şi utilizarea eficientă a resurselor din aceste comunităţi;</w:t>
      </w:r>
    </w:p>
    <w:p>
      <w:pPr>
        <w:numPr>
          <w:ilvl w:val="0"/>
          <w:numId w:val="3"/>
        </w:numPr>
        <w:spacing w:after="0" w:line="240" w:lineRule="auto"/>
        <w:ind w:left="284" w:hanging="284"/>
        <w:jc w:val="both"/>
        <w:rPr>
          <w:rFonts w:ascii="Trebuchet MS" w:hAnsi="Trebuchet MS"/>
        </w:rPr>
      </w:pPr>
      <w:r>
        <w:rPr>
          <w:rFonts w:ascii="Trebuchet MS" w:hAnsi="Trebuchet MS"/>
        </w:rPr>
        <w:lastRenderedPageBreak/>
        <w:t>Sprijinirea antreprenoriatului care săgenerze noi locuri de muncă.</w:t>
      </w:r>
    </w:p>
    <w:p>
      <w:p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POR va finanța investițiile în infrastructurile specifice ce fac posibil accesul la toate aceste tipuri de servicii.</w:t>
      </w:r>
    </w:p>
    <w:p>
      <w:p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 xml:space="preserve">Rezultatele vor fi atinse printr-o abordare integrată și participativă, prin promovarea unor măsuri care vizează cauzele specifice ale fenomenului sărăciei și excluziunii sociale a persoanelor și comunităților. </w:t>
      </w:r>
    </w:p>
    <w:p>
      <w:pPr>
        <w:spacing w:after="0" w:line="240" w:lineRule="auto"/>
        <w:jc w:val="both"/>
        <w:rPr>
          <w:rFonts w:ascii="Trebuchet MS" w:eastAsia="Times New Roman" w:hAnsi="Trebuchet MS" w:cs="Calibri"/>
          <w:lang w:val="ro-RO"/>
        </w:rPr>
      </w:pPr>
      <w:r>
        <w:rPr>
          <w:rFonts w:ascii="Trebuchet MS" w:eastAsia="Times New Roman" w:hAnsi="Trebuchet MS" w:cs="Calibri"/>
          <w:lang w:val="ro-RO"/>
        </w:rPr>
        <w:t>Rezultatul așteptat constă în reducerea numărului de persoane aflate în risc de sărăcie şi excluziune socială, prin măsuri integrate.</w:t>
      </w:r>
    </w:p>
    <w:p>
      <w:pPr>
        <w:spacing w:after="0" w:line="240" w:lineRule="auto"/>
        <w:jc w:val="both"/>
        <w:rPr>
          <w:rFonts w:ascii="Trebuchet MS" w:eastAsia="Times New Roman" w:hAnsi="Trebuchet MS" w:cs="Calibri"/>
          <w:lang w:val="ro-RO"/>
        </w:rPr>
      </w:pPr>
    </w:p>
    <w:p>
      <w:pPr>
        <w:pStyle w:val="Heading3"/>
        <w:spacing w:before="0" w:line="240" w:lineRule="auto"/>
        <w:jc w:val="both"/>
        <w:rPr>
          <w:rFonts w:ascii="Trebuchet MS" w:hAnsi="Trebuchet MS"/>
          <w:bCs w:val="0"/>
          <w:i/>
          <w:noProof/>
          <w:color w:val="auto"/>
        </w:rPr>
      </w:pPr>
      <w:bookmarkStart w:id="17" w:name="_Toc41298482"/>
      <w:r>
        <w:rPr>
          <w:rFonts w:ascii="Trebuchet MS" w:hAnsi="Trebuchet MS"/>
          <w:bCs w:val="0"/>
          <w:i/>
          <w:noProof/>
          <w:color w:val="auto"/>
        </w:rPr>
        <w:t>Secțiunea3.1.2 Aria de implementare a intervențiilor lansate</w:t>
      </w:r>
      <w:bookmarkEnd w:id="17"/>
    </w:p>
    <w:p>
      <w:pPr>
        <w:spacing w:after="0" w:line="240" w:lineRule="auto"/>
        <w:rPr>
          <w:rFonts w:ascii="Trebuchet MS" w:hAnsi="Trebuchet MS"/>
        </w:rPr>
      </w:pPr>
    </w:p>
    <w:p>
      <w:pPr>
        <w:spacing w:after="0" w:line="240" w:lineRule="auto"/>
        <w:ind w:firstLine="357"/>
        <w:jc w:val="both"/>
        <w:rPr>
          <w:rFonts w:ascii="Trebuchet MS" w:hAnsi="Trebuchet MS"/>
          <w:lang w:val="ro-RO"/>
        </w:rPr>
      </w:pPr>
      <w:r>
        <w:rPr>
          <w:rFonts w:ascii="Trebuchet MS" w:hAnsi="Trebuchet MS"/>
          <w:lang w:val="ro-RO"/>
        </w:rPr>
        <w:t xml:space="preserve">Această prioritate de investiție se adresează teritoriului vizat de Strategia de Dezvoltare Locală a GAL </w:t>
      </w:r>
      <w:r>
        <w:rPr>
          <w:rFonts w:ascii="Trebuchet MS" w:hAnsi="Trebuchet MS"/>
        </w:rPr>
        <w:t>Botoșani pentru Viitor</w:t>
      </w:r>
      <w:r>
        <w:rPr>
          <w:rFonts w:ascii="Trebuchet MS" w:hAnsi="Trebuchet MS"/>
          <w:lang w:val="ro-RO"/>
        </w:rPr>
        <w:t>, respectiv zonelor marginalizate din municipiul Botoșani, județul Botoșani.</w:t>
      </w:r>
    </w:p>
    <w:p>
      <w:pPr>
        <w:spacing w:after="120" w:line="240" w:lineRule="auto"/>
        <w:ind w:firstLine="357"/>
        <w:jc w:val="both"/>
        <w:rPr>
          <w:rFonts w:ascii="Trebuchet MS" w:hAnsi="Trebuchet MS" w:cs="Calibri"/>
          <w:bCs/>
          <w:lang w:val="ro-RO"/>
        </w:rPr>
      </w:pPr>
      <w:r>
        <w:rPr>
          <w:rFonts w:ascii="Trebuchet MS" w:hAnsi="Trebuchet MS" w:cs="Calibri"/>
          <w:bCs/>
          <w:lang w:val="ro-RO"/>
        </w:rPr>
        <w:t>APELURILE DE FIȘE DE PROIECTE se adresează  solicitanților eligibili ce pot implementa interven</w:t>
      </w:r>
      <w:r>
        <w:rPr>
          <w:rFonts w:ascii="Trebuchet MS" w:eastAsia="Times New Roman" w:hAnsi="Trebuchet MS" w:cs="Calibri"/>
          <w:lang w:val="ro-RO"/>
        </w:rPr>
        <w:t>ț</w:t>
      </w:r>
      <w:r>
        <w:rPr>
          <w:rFonts w:ascii="Trebuchet MS" w:hAnsi="Trebuchet MS" w:cs="Calibri"/>
          <w:bCs/>
          <w:lang w:val="ro-RO"/>
        </w:rPr>
        <w:t xml:space="preserve">iile POR din cadrul Strategiei de Dezvoltare Locală (SDL), aprobată de Asociatia  </w:t>
      </w:r>
      <w:r>
        <w:rPr>
          <w:rFonts w:ascii="Trebuchet MS" w:hAnsi="Trebuchet MS" w:cs="Calibri"/>
          <w:iCs/>
          <w:lang w:val="ro-RO"/>
        </w:rPr>
        <w:t>GAL Botosani pentru Viitor</w:t>
      </w:r>
      <w:r>
        <w:rPr>
          <w:rFonts w:ascii="Trebuchet MS" w:hAnsi="Trebuchet MS" w:cs="Calibri"/>
          <w:bCs/>
          <w:lang w:val="ro-RO"/>
        </w:rPr>
        <w:t>.</w:t>
      </w:r>
    </w:p>
    <w:p>
      <w:pPr>
        <w:spacing w:after="120" w:line="240" w:lineRule="auto"/>
        <w:ind w:firstLine="357"/>
        <w:jc w:val="both"/>
        <w:rPr>
          <w:rFonts w:ascii="Trebuchet MS" w:hAnsi="Trebuchet MS" w:cs="Calibri"/>
          <w:bCs/>
          <w:lang w:val="ro-RO"/>
        </w:rPr>
      </w:pPr>
      <w:r>
        <w:rPr>
          <w:rFonts w:ascii="Trebuchet MS" w:hAnsi="Trebuchet MS"/>
          <w:lang w:val="ro-RO"/>
        </w:rPr>
        <w:t>Teritoriul Strategiei de Dezvoltare Locală (SDL) delimitat la nivelul Municipiului Botoșani se găsește chiar în centrul localității, fiind format din arealul delimitat de străzile: Tomis nr. 1-27, Zimbrului nr. 1-31 , Impărat Traian nr. 17-73, 20-108, Săvenilor nr. 1-59, 2-40, Tudor Vladimirescu nr. 1-7, 2-96, Victoriei nr. 1 – 41, 1Decembrie nr. 1-89, 20-58, Calea Natională nr. 79-97E, 52-62, Octav Onicescu nr.62-70 și Libertătii nr.2-30.</w:t>
      </w:r>
    </w:p>
    <w:p>
      <w:pPr>
        <w:spacing w:after="120" w:line="240" w:lineRule="auto"/>
        <w:ind w:firstLine="357"/>
        <w:jc w:val="both"/>
        <w:rPr>
          <w:rFonts w:ascii="Trebuchet MS" w:hAnsi="Trebuchet MS" w:cs="Calibri"/>
          <w:bCs/>
          <w:lang w:val="ro-RO"/>
        </w:rPr>
      </w:pPr>
      <w:r>
        <w:rPr>
          <w:rFonts w:ascii="Trebuchet MS" w:hAnsi="Trebuchet MS"/>
          <w:lang w:val="ro-RO"/>
        </w:rPr>
        <w:t>Teritoriul SDL prezintă un grad ridicat de eterogenitate, cuprinzând atât două Zone Urbane Marginalizate (ZUM), ZUM 1 (cod mapă recensământ 357400363) și ZUM2 (cod mapă recensământ 357400279) – delimitate conform Atlasului Zonelor Urbane Marginalizate, cât și o zonă cu un nivel social mediu, din punct de vedere al indicatorilor ce vizează locuirea, deprivarea materială, ocuparea (zonă funcțională-ZUF).</w:t>
      </w:r>
    </w:p>
    <w:p>
      <w:pPr>
        <w:spacing w:after="0" w:line="240" w:lineRule="auto"/>
        <w:jc w:val="both"/>
        <w:rPr>
          <w:rFonts w:ascii="Trebuchet MS" w:hAnsi="Trebuchet MS"/>
          <w:lang w:val="ro-RO"/>
        </w:rPr>
      </w:pPr>
      <w:r>
        <w:rPr>
          <w:rFonts w:ascii="Trebuchet MS" w:hAnsi="Trebuchet MS"/>
          <w:lang w:val="ro-RO"/>
        </w:rPr>
        <w:t>Teritoriul SDL cuprinde o arie formată din 3 zone distincte: două zone urbane marginalizate (ZUM) și o Zonă Urbană Functională, aflată în proximitatea celor 2 ZUM.</w:t>
      </w:r>
    </w:p>
    <w:p>
      <w:pPr>
        <w:spacing w:after="0" w:line="240" w:lineRule="auto"/>
        <w:jc w:val="both"/>
        <w:rPr>
          <w:rFonts w:ascii="Trebuchet MS" w:hAnsi="Trebuchet MS"/>
          <w:b/>
          <w:bCs/>
          <w:lang w:val="ro-RO"/>
        </w:rPr>
      </w:pPr>
      <w:r>
        <w:rPr>
          <w:rFonts w:ascii="Trebuchet MS" w:hAnsi="Trebuchet MS"/>
          <w:b/>
          <w:bCs/>
          <w:lang w:val="ro-RO"/>
        </w:rPr>
        <w:t>Zona 1 – Parcul Tineretului (ZUM 1). Cartierul se regăseste în Atlasul Zonelor Marginalizate, cod mapă recensămant 357400363.</w:t>
      </w:r>
    </w:p>
    <w:p>
      <w:pPr>
        <w:spacing w:after="0" w:line="240" w:lineRule="auto"/>
        <w:jc w:val="both"/>
        <w:rPr>
          <w:rFonts w:ascii="Trebuchet MS" w:hAnsi="Trebuchet MS"/>
          <w:lang w:val="ro-RO"/>
        </w:rPr>
      </w:pPr>
      <w:r>
        <w:rPr>
          <w:rFonts w:ascii="Trebuchet MS" w:hAnsi="Trebuchet MS"/>
          <w:lang w:val="ro-RO"/>
        </w:rPr>
        <w:t>Delimitare: Nord-Vest - Strada Parcul Tineretului nr. 12-14, Nord-Est - Strada Parcul Tineretului nr. 16-20, Sud-Est - Ale. Slt. Ion Elefterescu nr. 2 și nr. 1-5, Sud-Vest - Aleea Parcul Tineretului nr. 2-6</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Zona 2 – Centrul istoric (ZUM 2) – Cartierul se regăseste în Atlasul Zonelor Marginalizate, cod mapă recensămant 357400279</w:t>
      </w:r>
    </w:p>
    <w:p>
      <w:pPr>
        <w:spacing w:after="0" w:line="240" w:lineRule="auto"/>
        <w:jc w:val="both"/>
        <w:rPr>
          <w:rFonts w:ascii="Trebuchet MS" w:hAnsi="Trebuchet MS"/>
          <w:lang w:val="ro-RO"/>
        </w:rPr>
      </w:pPr>
      <w:r>
        <w:rPr>
          <w:rFonts w:ascii="Trebuchet MS" w:hAnsi="Trebuchet MS"/>
          <w:lang w:val="ro-RO"/>
        </w:rPr>
        <w:t>Delimitare: Nord-Vest - Strada Calea Natională nr. 58A-91, Nord-Est - Strada Independenței nr. 2-24, Sud-Est - Strada Penes Curcanul nr. 1-1A, Sud-Vest - Str. 1Decembrie nr. 1-79;</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Zonă 3 – Zonă mixtă – blocuri și case – Zonă Urbană Functională (ZUF)</w:t>
      </w:r>
    </w:p>
    <w:p>
      <w:pPr>
        <w:spacing w:after="0" w:line="240" w:lineRule="auto"/>
        <w:jc w:val="both"/>
        <w:rPr>
          <w:rFonts w:ascii="Trebuchet MS" w:hAnsi="Trebuchet MS"/>
          <w:lang w:val="ro-RO"/>
        </w:rPr>
      </w:pPr>
      <w:r>
        <w:rPr>
          <w:rFonts w:ascii="Trebuchet MS" w:hAnsi="Trebuchet MS"/>
          <w:lang w:val="ro-RO"/>
        </w:rPr>
        <w:lastRenderedPageBreak/>
        <w:t>Delimitare: Nord - Strada Tomis, Str. Zimbrului, Str. Impărat Traian; Est - Str. Săvenilor nr. 33-59, Str. Tudor Vladimirescu nr. 12-96, Str. I.C.Brătianu nr.40-52; Sud - Str. Petru Rareș, Str. Victoriei, Str. 1 Decembrie, Vest Str. Octav Onicescu nr. 62-70, Strada Impărat Traian nr. 21, Strada Poporului nr. 1, Strada Libertătii nr. 6 și 11-27, Strada Mușat Vodă nr. 25 și 38.</w:t>
      </w:r>
    </w:p>
    <w:p>
      <w:pPr>
        <w:spacing w:after="0" w:line="240" w:lineRule="auto"/>
        <w:jc w:val="both"/>
        <w:rPr>
          <w:rFonts w:ascii="Trebuchet MS" w:hAnsi="Trebuchet MS"/>
          <w:lang w:val="ro-RO"/>
        </w:rPr>
      </w:pPr>
    </w:p>
    <w:p>
      <w:pPr>
        <w:pBdr>
          <w:top w:val="single" w:sz="4" w:space="1" w:color="auto"/>
          <w:left w:val="single" w:sz="4" w:space="4" w:color="auto"/>
          <w:bottom w:val="single" w:sz="4" w:space="1" w:color="auto"/>
          <w:right w:val="single" w:sz="4" w:space="4" w:color="auto"/>
        </w:pBdr>
        <w:shd w:val="clear" w:color="auto" w:fill="CCC0D9" w:themeFill="accent4" w:themeFillTint="66"/>
        <w:spacing w:after="120" w:line="240" w:lineRule="auto"/>
        <w:jc w:val="both"/>
        <w:rPr>
          <w:rFonts w:ascii="Trebuchet MS" w:hAnsi="Trebuchet MS"/>
          <w:b/>
          <w:bCs/>
          <w:kern w:val="28"/>
          <w:lang w:eastAsia="en-GB"/>
        </w:rPr>
      </w:pPr>
      <w:r>
        <w:rPr>
          <w:rFonts w:ascii="Trebuchet MS" w:hAnsi="Trebuchet MS"/>
          <w:b/>
          <w:color w:val="FF0000"/>
          <w:szCs w:val="24"/>
        </w:rPr>
        <w:t>Atentie*</w:t>
      </w:r>
      <w:r>
        <w:rPr>
          <w:rFonts w:ascii="Trebuchet MS" w:hAnsi="Trebuchet MS"/>
          <w:szCs w:val="24"/>
        </w:rPr>
        <w:t>Detalierea zonelor  urbane marginalizate  si a zonei func</w:t>
      </w:r>
      <w:r>
        <w:rPr>
          <w:rFonts w:ascii="Trebuchet MS" w:hAnsi="Trebuchet MS" w:cs="Calibri"/>
          <w:bCs/>
          <w:lang w:val="ro-RO"/>
        </w:rPr>
        <w:t>ț</w:t>
      </w:r>
      <w:r>
        <w:rPr>
          <w:rFonts w:ascii="Trebuchet MS" w:hAnsi="Trebuchet MS"/>
          <w:szCs w:val="24"/>
        </w:rPr>
        <w:t>ionale se pot consulta  in SDL disponibil</w:t>
      </w:r>
      <w:r>
        <w:rPr>
          <w:rFonts w:ascii="Trebuchet MS" w:hAnsi="Trebuchet MS" w:cs="Calibri"/>
          <w:bCs/>
          <w:lang w:val="ro-RO"/>
        </w:rPr>
        <w:t>ă</w:t>
      </w:r>
      <w:r>
        <w:rPr>
          <w:rFonts w:ascii="Trebuchet MS" w:hAnsi="Trebuchet MS"/>
          <w:szCs w:val="24"/>
        </w:rPr>
        <w:t xml:space="preserve"> pe site-ul www.galbotosani.ro , la  </w:t>
      </w:r>
      <w:r>
        <w:rPr>
          <w:rFonts w:ascii="Trebuchet MS" w:hAnsi="Trebuchet MS"/>
          <w:b/>
          <w:szCs w:val="24"/>
        </w:rPr>
        <w:t xml:space="preserve">capitolul 2.2.2. Validarea și declararea zonei/ zonelor urbane marginalizate </w:t>
      </w:r>
      <w:r>
        <w:rPr>
          <w:rFonts w:ascii="Trebuchet MS" w:hAnsi="Trebuchet MS"/>
          <w:szCs w:val="24"/>
        </w:rPr>
        <w:t xml:space="preserve">si </w:t>
      </w:r>
      <w:r>
        <w:rPr>
          <w:rFonts w:ascii="Trebuchet MS" w:hAnsi="Trebuchet MS"/>
          <w:b/>
          <w:bCs/>
          <w:kern w:val="28"/>
          <w:lang w:eastAsia="en-GB"/>
        </w:rPr>
        <w:t>ANEXA 5 la SDL -Decizia GAL privind delimitarea teritoriului SDL şi declararea ZUM-urilor selectate.</w:t>
      </w:r>
    </w:p>
    <w:p>
      <w:pPr>
        <w:pStyle w:val="Heading3"/>
        <w:spacing w:before="0" w:line="240" w:lineRule="auto"/>
        <w:rPr>
          <w:rFonts w:ascii="Trebuchet MS" w:hAnsi="Trebuchet MS"/>
          <w:bCs w:val="0"/>
          <w:i/>
          <w:noProof/>
          <w:color w:val="auto"/>
        </w:rPr>
      </w:pPr>
    </w:p>
    <w:p>
      <w:pPr>
        <w:pStyle w:val="Heading3"/>
        <w:spacing w:before="0" w:line="240" w:lineRule="auto"/>
        <w:rPr>
          <w:rFonts w:ascii="Trebuchet MS" w:hAnsi="Trebuchet MS"/>
          <w:bCs w:val="0"/>
          <w:i/>
          <w:noProof/>
          <w:color w:val="auto"/>
        </w:rPr>
      </w:pPr>
      <w:bookmarkStart w:id="18" w:name="_Toc41298483"/>
      <w:r>
        <w:rPr>
          <w:rFonts w:ascii="Trebuchet MS" w:hAnsi="Trebuchet MS"/>
          <w:bCs w:val="0"/>
          <w:i/>
          <w:noProof/>
          <w:color w:val="auto"/>
        </w:rPr>
        <w:t>Secțiunea3.1.3Indicatori de monitorizare</w:t>
      </w:r>
      <w:bookmarkEnd w:id="18"/>
    </w:p>
    <w:p>
      <w:pPr>
        <w:spacing w:after="0" w:line="240" w:lineRule="auto"/>
        <w:rPr>
          <w:rFonts w:ascii="Trebuchet MS" w:hAnsi="Trebuchet MS"/>
        </w:rPr>
      </w:pPr>
    </w:p>
    <w:p>
      <w:pPr>
        <w:numPr>
          <w:ilvl w:val="0"/>
          <w:numId w:val="4"/>
        </w:numPr>
        <w:spacing w:after="120" w:line="240" w:lineRule="auto"/>
        <w:jc w:val="both"/>
        <w:rPr>
          <w:rFonts w:ascii="Trebuchet MS" w:hAnsi="Trebuchet MS" w:cs="Calibri"/>
          <w:b/>
          <w:lang w:val="ro-RO"/>
        </w:rPr>
      </w:pPr>
      <w:r>
        <w:rPr>
          <w:rFonts w:ascii="Trebuchet MS" w:hAnsi="Trebuchet MS" w:cs="Calibri"/>
          <w:b/>
          <w:lang w:val="ro-RO"/>
        </w:rPr>
        <w:t>Indicatori prioritate de investiții</w:t>
      </w:r>
    </w:p>
    <w:p>
      <w:pPr>
        <w:spacing w:after="120" w:line="240" w:lineRule="auto"/>
        <w:jc w:val="both"/>
        <w:rPr>
          <w:rFonts w:ascii="Trebuchet MS" w:hAnsi="Trebuchet MS" w:cs="Calibri"/>
          <w:lang w:val="ro-RO"/>
        </w:rPr>
      </w:pPr>
      <w:r>
        <w:rPr>
          <w:rFonts w:ascii="Trebuchet MS" w:hAnsi="Trebuchet MS" w:cs="Calibri"/>
          <w:u w:val="single"/>
          <w:lang w:val="ro-RO"/>
        </w:rPr>
        <w:t>Indicatorul de rezultat specific</w:t>
      </w:r>
      <w:r>
        <w:rPr>
          <w:rFonts w:ascii="Trebuchet MS" w:hAnsi="Trebuchet MS" w:cs="Calibri"/>
          <w:lang w:val="ro-RO"/>
        </w:rPr>
        <w:t xml:space="preserve">, conform Programului Operaţional Regional (POR) 2014-2020 este- Populația aflată în risc de sărăcie şi excluziune socială din zonele marginalizate urbane (1S45). </w:t>
      </w:r>
    </w:p>
    <w:p>
      <w:pPr>
        <w:spacing w:after="120" w:line="240" w:lineRule="auto"/>
        <w:jc w:val="both"/>
        <w:rPr>
          <w:rFonts w:ascii="Trebuchet MS" w:hAnsi="Trebuchet MS" w:cs="Calibri"/>
          <w:lang w:val="ro-RO"/>
        </w:rPr>
      </w:pPr>
      <w:r>
        <w:rPr>
          <w:rFonts w:ascii="Trebuchet MS" w:hAnsi="Trebuchet MS" w:cs="Calibri"/>
          <w:lang w:val="ro-RO"/>
        </w:rPr>
        <w:t>Prin intermediul propunerilor de proiecte se va avea în vedere scăderea numărului acestei populații (nr. de persoane)*</w:t>
      </w:r>
    </w:p>
    <w:p>
      <w:pPr>
        <w:spacing w:after="120" w:line="240" w:lineRule="auto"/>
        <w:jc w:val="both"/>
        <w:rPr>
          <w:rFonts w:ascii="Trebuchet MS" w:hAnsi="Trebuchet MS" w:cs="Calibri"/>
          <w:lang w:val="ro-RO"/>
        </w:rPr>
      </w:pPr>
      <w:r>
        <w:rPr>
          <w:rFonts w:ascii="Trebuchet MS" w:hAnsi="Trebuchet MS" w:cs="Calibri"/>
          <w:lang w:val="ro-RO"/>
        </w:rPr>
        <w:t>*Acest indicator nu se raportează de catre beneficiar.</w:t>
      </w:r>
    </w:p>
    <w:p>
      <w:pPr>
        <w:spacing w:after="120" w:line="240" w:lineRule="auto"/>
        <w:jc w:val="both"/>
        <w:rPr>
          <w:rFonts w:ascii="Trebuchet MS" w:hAnsi="Trebuchet MS" w:cs="Calibri"/>
          <w:lang w:val="ro-RO"/>
        </w:rPr>
      </w:pPr>
      <w:r>
        <w:rPr>
          <w:rFonts w:ascii="Trebuchet MS" w:hAnsi="Trebuchet MS" w:cs="Calibri"/>
          <w:u w:val="single"/>
          <w:lang w:val="ro-RO"/>
        </w:rPr>
        <w:t>Indicatori de realizare</w:t>
      </w:r>
      <w:r>
        <w:rPr>
          <w:rFonts w:ascii="Trebuchet MS" w:hAnsi="Trebuchet MS" w:cs="Calibri"/>
          <w:lang w:val="ro-RO"/>
        </w:rPr>
        <w:t>, conform POR 2014-2020</w:t>
      </w:r>
    </w:p>
    <w:p>
      <w:pPr>
        <w:spacing w:line="240" w:lineRule="auto"/>
        <w:jc w:val="both"/>
        <w:rPr>
          <w:rFonts w:ascii="Trebuchet MS" w:hAnsi="Trebuchet MS" w:cs="Calibri"/>
          <w:lang w:val="ro-RO"/>
        </w:rPr>
      </w:pPr>
      <w:r>
        <w:rPr>
          <w:rFonts w:ascii="Trebuchet MS" w:hAnsi="Trebuchet MS" w:cs="Calibri"/>
          <w:lang w:val="ro-RO"/>
        </w:rPr>
        <w:t xml:space="preserve">•Persoane care trăiesc în zone urbane unde s-au implementat strategii integrate de dezvoltare locală (nr. persoane) - 1S46 </w:t>
      </w:r>
    </w:p>
    <w:p>
      <w:pPr>
        <w:spacing w:line="240" w:lineRule="auto"/>
        <w:jc w:val="both"/>
        <w:rPr>
          <w:rFonts w:ascii="Trebuchet MS" w:hAnsi="Trebuchet MS" w:cs="Calibri"/>
          <w:lang w:val="ro-RO"/>
        </w:rPr>
      </w:pPr>
      <w:r>
        <w:rPr>
          <w:rFonts w:ascii="Trebuchet MS" w:hAnsi="Trebuchet MS" w:cs="Calibri"/>
          <w:lang w:val="ro-RO"/>
        </w:rPr>
        <w:t>•Spații deschise create sau reabilitate în zonele urbane (m²) - CO 38</w:t>
      </w:r>
    </w:p>
    <w:p>
      <w:pPr>
        <w:spacing w:line="240" w:lineRule="auto"/>
        <w:jc w:val="both"/>
        <w:rPr>
          <w:rFonts w:ascii="Trebuchet MS" w:hAnsi="Trebuchet MS" w:cs="Calibri"/>
          <w:lang w:val="ro-RO"/>
        </w:rPr>
      </w:pPr>
      <w:r>
        <w:rPr>
          <w:rFonts w:ascii="Trebuchet MS" w:hAnsi="Trebuchet MS" w:cs="Calibri"/>
          <w:lang w:val="ro-RO"/>
        </w:rPr>
        <w:t>•Clădiri publice sau comerciale construite sau renovate în zonele urbane (m²) -CO39*</w:t>
      </w:r>
    </w:p>
    <w:p>
      <w:pPr>
        <w:spacing w:line="240" w:lineRule="auto"/>
        <w:jc w:val="both"/>
        <w:rPr>
          <w:rFonts w:ascii="Trebuchet MS" w:hAnsi="Trebuchet MS" w:cs="Calibri"/>
          <w:color w:val="C0504D" w:themeColor="accent2"/>
          <w:lang w:val="ro-RO"/>
        </w:rPr>
      </w:pPr>
      <w:r>
        <w:rPr>
          <w:rFonts w:ascii="Trebuchet MS" w:hAnsi="Trebuchet MS" w:cs="Calibri"/>
          <w:lang w:val="ro-RO"/>
        </w:rPr>
        <w:t xml:space="preserve">*definitie standard a indicatorului conform Regulamentului CE 1301/2013 (în cazul PI 9.1, indicatorul se referă doar la clădiri publice – a se vedea Anexa  - Descrierea indicatorilor,din </w:t>
      </w:r>
      <w:r>
        <w:rPr>
          <w:rFonts w:ascii="Trebuchet MS" w:hAnsi="Trebuchet MS" w:cs="Calibri"/>
          <w:color w:val="C0504D" w:themeColor="accent2"/>
          <w:lang w:val="ro-RO"/>
        </w:rPr>
        <w:t xml:space="preserve"> </w:t>
      </w:r>
      <w:r>
        <w:t>GHIDUL SOLICITANTULUI - CONDIȚII SPECIFICE DE ACCESARE A FONDURILOR ÎN CADRUL APELURILOR DE PROIECTE POR/2019/9/9.1/1/7REGIUNI, POR/2019/9/9.1/1/BI ȘI POR/2019/9/9.1/1/ÎNTREPRINDERI, AXA PRIORITARA 9 - SPRIJINIREA REGENERĂRII ECONOMICE ȘI SOCIALE A COMUNITĂȚILOR DEFAVORIZATE DIN MEDIUL URBAN, PRIORITATEA DE INVESTITII 9.1 - DEZVOLTARE LOCALĂ SUB RESPONSABILITATEA COMUNITĂȚII (DLRC)</w:t>
      </w:r>
    </w:p>
    <w:p>
      <w:pPr>
        <w:numPr>
          <w:ilvl w:val="0"/>
          <w:numId w:val="4"/>
        </w:numPr>
        <w:spacing w:after="120" w:line="240" w:lineRule="auto"/>
        <w:jc w:val="both"/>
        <w:rPr>
          <w:rFonts w:ascii="Trebuchet MS" w:hAnsi="Trebuchet MS" w:cs="Calibri"/>
          <w:b/>
          <w:lang w:val="ro-RO"/>
        </w:rPr>
      </w:pPr>
      <w:r>
        <w:rPr>
          <w:rFonts w:ascii="Trebuchet MS" w:hAnsi="Trebuchet MS" w:cs="Calibri"/>
          <w:b/>
          <w:lang w:val="ro-RO"/>
        </w:rPr>
        <w:t>Indicatori de proiect</w:t>
      </w:r>
    </w:p>
    <w:p>
      <w:pPr>
        <w:spacing w:after="120" w:line="240" w:lineRule="auto"/>
        <w:jc w:val="both"/>
        <w:rPr>
          <w:rFonts w:ascii="Trebuchet MS" w:hAnsi="Trebuchet MS" w:cs="Calibri"/>
          <w:lang w:val="ro-RO"/>
        </w:rPr>
      </w:pPr>
      <w:r>
        <w:rPr>
          <w:rFonts w:ascii="Trebuchet MS" w:hAnsi="Trebuchet MS" w:cs="Calibri"/>
          <w:lang w:val="ro-RO"/>
        </w:rPr>
        <w:t>Indicatorii de proiect care fac obiectul monitorizării implementării și performanței investiției propuse prin proiect se referă la:</w:t>
      </w:r>
    </w:p>
    <w:p>
      <w:pPr>
        <w:spacing w:line="240" w:lineRule="auto"/>
        <w:jc w:val="both"/>
        <w:rPr>
          <w:rFonts w:ascii="Trebuchet MS" w:hAnsi="Trebuchet MS" w:cs="Calibri"/>
          <w:lang w:val="ro-RO"/>
        </w:rPr>
      </w:pPr>
      <w:r>
        <w:rPr>
          <w:rFonts w:ascii="Trebuchet MS" w:hAnsi="Trebuchet MS" w:cs="Calibri"/>
          <w:lang w:val="ro-RO"/>
        </w:rPr>
        <w:t>•Persoane care trăiesc în zone urbane unde s-au implementat strategii integrate de dezvoltare locală (nr. de persoane)</w:t>
      </w:r>
    </w:p>
    <w:p>
      <w:pPr>
        <w:spacing w:line="240" w:lineRule="auto"/>
        <w:jc w:val="both"/>
        <w:rPr>
          <w:rFonts w:ascii="Trebuchet MS" w:hAnsi="Trebuchet MS" w:cs="Calibri"/>
          <w:lang w:val="ro-RO"/>
        </w:rPr>
      </w:pPr>
      <w:r>
        <w:rPr>
          <w:rFonts w:ascii="Trebuchet MS" w:hAnsi="Trebuchet MS" w:cs="Calibri"/>
          <w:lang w:val="ro-RO"/>
        </w:rPr>
        <w:lastRenderedPageBreak/>
        <w:t>•Spații deschise create sau reabilitate în zonele urbane (m²)</w:t>
      </w:r>
    </w:p>
    <w:p>
      <w:pPr>
        <w:spacing w:line="240" w:lineRule="auto"/>
        <w:jc w:val="both"/>
        <w:rPr>
          <w:rFonts w:ascii="Trebuchet MS" w:hAnsi="Trebuchet MS" w:cs="Calibri"/>
          <w:lang w:val="ro-RO"/>
        </w:rPr>
      </w:pPr>
      <w:r>
        <w:rPr>
          <w:rFonts w:ascii="Trebuchet MS" w:hAnsi="Trebuchet MS" w:cs="Calibri"/>
          <w:lang w:val="ro-RO"/>
        </w:rPr>
        <w:t>•Clădiri publice sau comerciale construite sau renovate în zonele urbane (m²) *</w:t>
      </w:r>
    </w:p>
    <w:p>
      <w:pPr>
        <w:spacing w:line="240" w:lineRule="auto"/>
        <w:jc w:val="both"/>
        <w:rPr>
          <w:rFonts w:ascii="Trebuchet MS" w:hAnsi="Trebuchet MS" w:cs="Calibri"/>
          <w:color w:val="C0504D" w:themeColor="accent2"/>
          <w:lang w:val="ro-RO"/>
        </w:rPr>
      </w:pPr>
      <w:r>
        <w:rPr>
          <w:rFonts w:ascii="Trebuchet MS" w:hAnsi="Trebuchet MS" w:cs="Calibri"/>
          <w:lang w:val="ro-RO"/>
        </w:rPr>
        <w:t>*definitie standard a indicatorului conform Regulamentului CE 1301/2013 (în cazul PI 9.1, indicatorul se referă doar la clădiri publice – a se vedea Anexa  - Descrierea indicatorilor, din</w:t>
      </w:r>
      <w:r>
        <w:rPr>
          <w:rFonts w:ascii="Trebuchet MS" w:hAnsi="Trebuchet MS" w:cs="Calibri"/>
          <w:color w:val="C0504D" w:themeColor="accent2"/>
          <w:lang w:val="ro-RO"/>
        </w:rPr>
        <w:t xml:space="preserve"> </w:t>
      </w:r>
      <w:r>
        <w:t>GHIDUL SOLICITANTULUI - CONDIȚII SPECIFICE DE ACCESARE A FONDURILOR ÎN CADRUL APELURILOR DE PROIECTE POR/2019/9/9.1/1/7REGIUNI, POR/2019/9/9.1/1/BI ȘI POR/2019/9/9.1/1/ÎNTREPRINDERI, AXA PRIORITARA 9 - SPRIJINIREA REGENERĂRII ECONOMICE ȘI SOCIALE A COMUNITĂȚILOR DEFAVORIZATE DIN MEDIUL URBAN, PRIORITATEA DE INVESTITII 9.1 - DEZVOLTARE LOCALĂ SUB RESPONSABILITATEA COMUNITĂȚII (DLRC)</w:t>
      </w:r>
    </w:p>
    <w:p>
      <w:pPr>
        <w:numPr>
          <w:ilvl w:val="0"/>
          <w:numId w:val="4"/>
        </w:numPr>
        <w:spacing w:after="120" w:line="240" w:lineRule="auto"/>
        <w:jc w:val="both"/>
        <w:rPr>
          <w:rFonts w:ascii="Trebuchet MS" w:hAnsi="Trebuchet MS" w:cs="Calibri"/>
          <w:b/>
          <w:lang w:val="ro-RO"/>
        </w:rPr>
      </w:pPr>
      <w:r>
        <w:rPr>
          <w:rFonts w:ascii="Trebuchet MS" w:hAnsi="Trebuchet MS" w:cs="Calibri"/>
          <w:b/>
          <w:lang w:val="ro-RO"/>
        </w:rPr>
        <w:t>Indicatori specifici Strategiei de Dezvoltare Locală</w:t>
      </w:r>
    </w:p>
    <w:p>
      <w:pPr>
        <w:spacing w:before="120" w:after="120" w:line="240" w:lineRule="auto"/>
        <w:rPr>
          <w:rFonts w:ascii="Trebuchet MS" w:eastAsia="SimSun" w:hAnsi="Trebuchet MS"/>
          <w:b/>
          <w:bCs/>
        </w:rPr>
      </w:pPr>
      <w:r>
        <w:rPr>
          <w:rFonts w:ascii="Trebuchet MS" w:eastAsia="SimSun" w:hAnsi="Trebuchet MS"/>
          <w:b/>
          <w:bCs/>
        </w:rPr>
        <w:t>Indicatori de realizare și rezultat POR și POCU</w:t>
      </w:r>
    </w:p>
    <w:tbl>
      <w:tblPr>
        <w:tblW w:w="8099" w:type="dxa"/>
        <w:jc w:val="center"/>
        <w:tblCellMar>
          <w:left w:w="0" w:type="dxa"/>
          <w:right w:w="0" w:type="dxa"/>
        </w:tblCellMar>
        <w:tblLook w:val="04A0" w:firstRow="1" w:lastRow="0" w:firstColumn="1" w:lastColumn="0" w:noHBand="0" w:noVBand="1"/>
      </w:tblPr>
      <w:tblGrid>
        <w:gridCol w:w="1064"/>
        <w:gridCol w:w="2074"/>
        <w:gridCol w:w="2477"/>
        <w:gridCol w:w="2484"/>
      </w:tblGrid>
      <w:tr>
        <w:trPr>
          <w:trHeight w:val="131"/>
          <w:jc w:val="center"/>
        </w:trPr>
        <w:tc>
          <w:tcPr>
            <w:tcW w:w="849" w:type="dxa"/>
            <w:vMerge w:val="restart"/>
            <w:vAlign w:val="center"/>
          </w:tcPr>
          <w:p>
            <w:pPr>
              <w:spacing w:line="240" w:lineRule="auto"/>
              <w:jc w:val="center"/>
              <w:rPr>
                <w:rFonts w:ascii="Trebuchet MS" w:hAnsi="Trebuchet MS"/>
                <w:b/>
                <w:bCs/>
                <w:noProof/>
              </w:rPr>
            </w:pPr>
            <w:r>
              <w:rPr>
                <w:rFonts w:ascii="Trebuchet MS" w:hAnsi="Trebuchet MS"/>
                <w:b/>
                <w:bCs/>
                <w:noProof/>
              </w:rPr>
              <w:t>Program Indicatori</w:t>
            </w:r>
          </w:p>
        </w:tc>
        <w:tc>
          <w:tcPr>
            <w:tcW w:w="2132" w:type="dxa"/>
            <w:vMerge w:val="restart"/>
            <w:vAlign w:val="center"/>
          </w:tcPr>
          <w:p>
            <w:pPr>
              <w:spacing w:line="240" w:lineRule="auto"/>
              <w:jc w:val="center"/>
              <w:rPr>
                <w:rFonts w:ascii="Trebuchet MS" w:hAnsi="Trebuchet MS"/>
                <w:b/>
                <w:bCs/>
                <w:noProof/>
              </w:rPr>
            </w:pPr>
            <w:r>
              <w:rPr>
                <w:rFonts w:ascii="Trebuchet MS" w:hAnsi="Trebuchet MS"/>
                <w:b/>
                <w:bCs/>
                <w:noProof/>
              </w:rPr>
              <w:t>PO Regional</w:t>
            </w:r>
          </w:p>
        </w:tc>
        <w:tc>
          <w:tcPr>
            <w:tcW w:w="5117" w:type="dxa"/>
            <w:gridSpan w:val="2"/>
          </w:tcPr>
          <w:p>
            <w:pPr>
              <w:spacing w:line="240" w:lineRule="auto"/>
              <w:jc w:val="center"/>
              <w:rPr>
                <w:rFonts w:ascii="Trebuchet MS" w:hAnsi="Trebuchet MS"/>
                <w:b/>
                <w:bCs/>
                <w:noProof/>
              </w:rPr>
            </w:pPr>
            <w:r>
              <w:rPr>
                <w:rFonts w:ascii="Trebuchet MS" w:hAnsi="Trebuchet MS"/>
                <w:b/>
                <w:bCs/>
                <w:noProof/>
              </w:rPr>
              <w:t>PO Capital Uman</w:t>
            </w:r>
          </w:p>
        </w:tc>
      </w:tr>
      <w:tr>
        <w:trPr>
          <w:trHeight w:val="131"/>
          <w:jc w:val="center"/>
        </w:trPr>
        <w:tc>
          <w:tcPr>
            <w:tcW w:w="849" w:type="dxa"/>
            <w:vMerge/>
          </w:tcPr>
          <w:p>
            <w:pPr>
              <w:spacing w:line="240" w:lineRule="auto"/>
              <w:jc w:val="center"/>
              <w:rPr>
                <w:rFonts w:ascii="Trebuchet MS" w:hAnsi="Trebuchet MS"/>
                <w:b/>
                <w:bCs/>
                <w:noProof/>
              </w:rPr>
            </w:pPr>
          </w:p>
        </w:tc>
        <w:tc>
          <w:tcPr>
            <w:tcW w:w="2132" w:type="dxa"/>
            <w:vMerge/>
          </w:tcPr>
          <w:p>
            <w:pPr>
              <w:spacing w:line="240" w:lineRule="auto"/>
              <w:jc w:val="center"/>
              <w:rPr>
                <w:rFonts w:ascii="Trebuchet MS" w:hAnsi="Trebuchet MS"/>
                <w:b/>
                <w:bCs/>
                <w:noProof/>
              </w:rPr>
            </w:pPr>
          </w:p>
        </w:tc>
        <w:tc>
          <w:tcPr>
            <w:tcW w:w="2559" w:type="dxa"/>
          </w:tcPr>
          <w:p>
            <w:pPr>
              <w:spacing w:line="240" w:lineRule="auto"/>
              <w:jc w:val="center"/>
              <w:rPr>
                <w:rFonts w:ascii="Trebuchet MS" w:hAnsi="Trebuchet MS"/>
                <w:b/>
                <w:bCs/>
                <w:noProof/>
              </w:rPr>
            </w:pPr>
            <w:r>
              <w:rPr>
                <w:rFonts w:ascii="Trebuchet MS" w:hAnsi="Trebuchet MS"/>
                <w:b/>
                <w:bCs/>
                <w:noProof/>
              </w:rPr>
              <w:t>Indicator</w:t>
            </w:r>
          </w:p>
        </w:tc>
        <w:tc>
          <w:tcPr>
            <w:tcW w:w="2559" w:type="dxa"/>
          </w:tcPr>
          <w:p>
            <w:pPr>
              <w:spacing w:line="240" w:lineRule="auto"/>
              <w:jc w:val="center"/>
              <w:rPr>
                <w:rFonts w:ascii="Trebuchet MS" w:hAnsi="Trebuchet MS"/>
                <w:b/>
                <w:bCs/>
                <w:noProof/>
              </w:rPr>
            </w:pPr>
            <w:r>
              <w:rPr>
                <w:rFonts w:ascii="Trebuchet MS" w:hAnsi="Trebuchet MS"/>
                <w:b/>
                <w:bCs/>
                <w:noProof/>
              </w:rPr>
              <w:t>Tinta minima obligatorie</w:t>
            </w:r>
          </w:p>
        </w:tc>
      </w:tr>
      <w:tr>
        <w:trPr>
          <w:trHeight w:val="1445"/>
          <w:jc w:val="center"/>
        </w:trPr>
        <w:tc>
          <w:tcPr>
            <w:tcW w:w="849" w:type="dxa"/>
            <w:vMerge w:val="restart"/>
            <w:vAlign w:val="center"/>
          </w:tcPr>
          <w:p>
            <w:pPr>
              <w:pStyle w:val="NoSpacing"/>
              <w:rPr>
                <w:rFonts w:ascii="Trebuchet MS" w:hAnsi="Trebuchet MS"/>
                <w:b/>
                <w:bCs/>
                <w:noProof/>
                <w:sz w:val="22"/>
                <w:szCs w:val="22"/>
              </w:rPr>
            </w:pPr>
            <w:r>
              <w:rPr>
                <w:rFonts w:ascii="Trebuchet MS" w:hAnsi="Trebuchet MS"/>
                <w:b/>
                <w:bCs/>
                <w:noProof/>
                <w:w w:val="108"/>
                <w:sz w:val="22"/>
                <w:szCs w:val="22"/>
              </w:rPr>
              <w:t xml:space="preserve">Indicatori </w:t>
            </w:r>
            <w:r>
              <w:rPr>
                <w:rFonts w:ascii="Trebuchet MS" w:hAnsi="Trebuchet MS"/>
                <w:b/>
                <w:bCs/>
                <w:noProof/>
                <w:w w:val="109"/>
                <w:sz w:val="22"/>
                <w:szCs w:val="22"/>
              </w:rPr>
              <w:t xml:space="preserve">de </w:t>
            </w:r>
            <w:r>
              <w:rPr>
                <w:rFonts w:ascii="Trebuchet MS" w:hAnsi="Trebuchet MS"/>
                <w:b/>
                <w:bCs/>
                <w:noProof/>
                <w:w w:val="107"/>
                <w:sz w:val="22"/>
                <w:szCs w:val="22"/>
              </w:rPr>
              <w:t>realizare</w:t>
            </w:r>
          </w:p>
          <w:p>
            <w:pPr>
              <w:spacing w:line="240" w:lineRule="auto"/>
              <w:jc w:val="center"/>
              <w:rPr>
                <w:rFonts w:ascii="Trebuchet MS" w:hAnsi="Trebuchet MS"/>
                <w:noProof/>
              </w:rPr>
            </w:pPr>
          </w:p>
        </w:tc>
        <w:tc>
          <w:tcPr>
            <w:tcW w:w="2132" w:type="dxa"/>
            <w:vMerge w:val="restart"/>
          </w:tcPr>
          <w:p>
            <w:pPr>
              <w:pStyle w:val="NoSpacing"/>
              <w:numPr>
                <w:ilvl w:val="0"/>
                <w:numId w:val="5"/>
              </w:numPr>
              <w:jc w:val="left"/>
              <w:rPr>
                <w:rFonts w:ascii="Trebuchet MS" w:hAnsi="Trebuchet MS"/>
                <w:noProof/>
                <w:sz w:val="22"/>
                <w:szCs w:val="22"/>
              </w:rPr>
            </w:pPr>
            <w:r>
              <w:rPr>
                <w:rFonts w:ascii="Trebuchet MS" w:hAnsi="Trebuchet MS"/>
                <w:noProof/>
                <w:w w:val="107"/>
                <w:sz w:val="22"/>
                <w:szCs w:val="22"/>
              </w:rPr>
              <w:t xml:space="preserve">Persoane  care traiesc in  zone urbane  unde  s-au implementat strategii  integrate de dezvoltare  locala </w:t>
            </w:r>
            <w:r>
              <w:rPr>
                <w:rFonts w:ascii="Trebuchet MS" w:hAnsi="Trebuchet MS"/>
                <w:b/>
                <w:bCs/>
                <w:noProof/>
                <w:w w:val="107"/>
                <w:sz w:val="22"/>
                <w:szCs w:val="22"/>
              </w:rPr>
              <w:t>(1S46</w:t>
            </w:r>
            <w:r>
              <w:rPr>
                <w:rFonts w:ascii="Trebuchet MS" w:hAnsi="Trebuchet MS"/>
                <w:noProof/>
                <w:w w:val="107"/>
                <w:sz w:val="22"/>
                <w:szCs w:val="22"/>
              </w:rPr>
              <w:t xml:space="preserve">): </w:t>
            </w:r>
            <w:r>
              <w:rPr>
                <w:rFonts w:ascii="Trebuchet MS" w:hAnsi="Trebuchet MS"/>
                <w:b/>
                <w:bCs/>
                <w:noProof/>
                <w:w w:val="107"/>
                <w:sz w:val="22"/>
                <w:szCs w:val="22"/>
              </w:rPr>
              <w:t>18.594</w:t>
            </w:r>
          </w:p>
          <w:p>
            <w:pPr>
              <w:pStyle w:val="NoSpacing"/>
              <w:numPr>
                <w:ilvl w:val="0"/>
                <w:numId w:val="5"/>
              </w:numPr>
              <w:jc w:val="left"/>
              <w:rPr>
                <w:rFonts w:ascii="Trebuchet MS" w:hAnsi="Trebuchet MS"/>
                <w:b/>
                <w:bCs/>
                <w:noProof/>
                <w:sz w:val="22"/>
                <w:szCs w:val="22"/>
              </w:rPr>
            </w:pPr>
            <w:r>
              <w:rPr>
                <w:rFonts w:ascii="Trebuchet MS" w:hAnsi="Trebuchet MS"/>
                <w:noProof/>
                <w:w w:val="107"/>
                <w:sz w:val="22"/>
                <w:szCs w:val="22"/>
              </w:rPr>
              <w:t xml:space="preserve">Cladiri publice sau comerciale construite sau renovate in zonele urbane </w:t>
            </w:r>
            <w:r>
              <w:rPr>
                <w:rFonts w:ascii="Trebuchet MS" w:hAnsi="Trebuchet MS"/>
                <w:b/>
                <w:bCs/>
                <w:noProof/>
                <w:w w:val="107"/>
                <w:sz w:val="22"/>
                <w:szCs w:val="22"/>
              </w:rPr>
              <w:t>(CO 39):15</w:t>
            </w:r>
          </w:p>
          <w:p>
            <w:pPr>
              <w:pStyle w:val="NoSpacing"/>
              <w:numPr>
                <w:ilvl w:val="0"/>
                <w:numId w:val="5"/>
              </w:numPr>
              <w:jc w:val="left"/>
              <w:rPr>
                <w:rFonts w:ascii="Trebuchet MS" w:hAnsi="Trebuchet MS"/>
                <w:noProof/>
              </w:rPr>
            </w:pPr>
            <w:r>
              <w:rPr>
                <w:rFonts w:ascii="Trebuchet MS" w:hAnsi="Trebuchet MS"/>
                <w:noProof/>
                <w:w w:val="107"/>
                <w:sz w:val="22"/>
                <w:szCs w:val="22"/>
              </w:rPr>
              <w:t xml:space="preserve">Spatii deschise create sau reabilitate in zonele urbane </w:t>
            </w:r>
            <w:r>
              <w:rPr>
                <w:rFonts w:ascii="Trebuchet MS" w:hAnsi="Trebuchet MS"/>
                <w:b/>
                <w:bCs/>
                <w:noProof/>
                <w:w w:val="107"/>
                <w:sz w:val="22"/>
                <w:szCs w:val="22"/>
              </w:rPr>
              <w:t>(CO 38):12</w:t>
            </w:r>
          </w:p>
        </w:tc>
        <w:tc>
          <w:tcPr>
            <w:tcW w:w="2559" w:type="dxa"/>
          </w:tcPr>
          <w:p>
            <w:pPr>
              <w:pStyle w:val="NoSpacing"/>
              <w:rPr>
                <w:rFonts w:ascii="Trebuchet MS" w:hAnsi="Trebuchet MS"/>
                <w:noProof/>
                <w:w w:val="107"/>
                <w:sz w:val="22"/>
                <w:szCs w:val="22"/>
              </w:rPr>
            </w:pPr>
            <w:r>
              <w:rPr>
                <w:rFonts w:ascii="Trebuchet MS" w:hAnsi="Trebuchet MS"/>
                <w:b/>
                <w:bCs/>
                <w:noProof/>
                <w:w w:val="107"/>
                <w:sz w:val="22"/>
                <w:szCs w:val="22"/>
              </w:rPr>
              <w:t xml:space="preserve">4S67 </w:t>
            </w:r>
            <w:r>
              <w:rPr>
                <w:rFonts w:ascii="Trebuchet MS" w:hAnsi="Trebuchet MS"/>
                <w:noProof/>
                <w:w w:val="107"/>
                <w:sz w:val="22"/>
                <w:szCs w:val="22"/>
              </w:rPr>
              <w:t xml:space="preserve">Persoane din comunitatile marginalizate aflate in risc de saracie si excluziune sociala care </w:t>
            </w:r>
            <w:r>
              <w:rPr>
                <w:rFonts w:ascii="Trebuchet MS" w:hAnsi="Trebuchet MS"/>
                <w:noProof/>
                <w:w w:val="107"/>
                <w:sz w:val="22"/>
                <w:szCs w:val="22"/>
              </w:rPr>
              <w:br/>
              <w:t xml:space="preserve">beneficiaza de servicii integrate, din care: </w:t>
            </w:r>
            <w:r>
              <w:rPr>
                <w:rFonts w:ascii="Trebuchet MS" w:hAnsi="Trebuchet MS"/>
                <w:b/>
                <w:bCs/>
                <w:noProof/>
                <w:w w:val="107"/>
                <w:sz w:val="22"/>
                <w:szCs w:val="22"/>
              </w:rPr>
              <w:t>840</w:t>
            </w:r>
          </w:p>
          <w:p>
            <w:pPr>
              <w:pStyle w:val="NoSpacing"/>
              <w:numPr>
                <w:ilvl w:val="0"/>
                <w:numId w:val="6"/>
              </w:numPr>
              <w:rPr>
                <w:rFonts w:ascii="Trebuchet MS" w:hAnsi="Trebuchet MS"/>
                <w:noProof/>
                <w:sz w:val="22"/>
                <w:szCs w:val="22"/>
              </w:rPr>
            </w:pPr>
            <w:r>
              <w:rPr>
                <w:rFonts w:ascii="Trebuchet MS" w:hAnsi="Trebuchet MS"/>
                <w:noProof/>
                <w:w w:val="107"/>
                <w:sz w:val="22"/>
                <w:szCs w:val="22"/>
              </w:rPr>
              <w:t>Roma:</w:t>
            </w:r>
            <w:r>
              <w:rPr>
                <w:rFonts w:ascii="Trebuchet MS" w:hAnsi="Trebuchet MS"/>
                <w:b/>
                <w:bCs/>
                <w:noProof/>
                <w:w w:val="107"/>
                <w:sz w:val="22"/>
                <w:szCs w:val="22"/>
              </w:rPr>
              <w:t xml:space="preserve"> 100</w:t>
            </w:r>
          </w:p>
        </w:tc>
        <w:tc>
          <w:tcPr>
            <w:tcW w:w="2559" w:type="dxa"/>
            <w:vMerge w:val="restart"/>
          </w:tcPr>
          <w:p>
            <w:pPr>
              <w:pStyle w:val="ListParagraph"/>
              <w:numPr>
                <w:ilvl w:val="0"/>
                <w:numId w:val="8"/>
              </w:numPr>
              <w:spacing w:line="240" w:lineRule="auto"/>
              <w:rPr>
                <w:rFonts w:ascii="Trebuchet MS" w:hAnsi="Trebuchet MS"/>
                <w:noProof/>
                <w:sz w:val="22"/>
                <w:szCs w:val="22"/>
              </w:rPr>
            </w:pPr>
            <w:r>
              <w:rPr>
                <w:rFonts w:ascii="Trebuchet MS" w:hAnsi="Trebuchet MS"/>
                <w:noProof/>
                <w:sz w:val="22"/>
                <w:szCs w:val="22"/>
              </w:rPr>
              <w:t>Regiuni mai putin dezvoltate – 400 persoane (pentru 1.000.000 de euro POCU)</w:t>
            </w:r>
          </w:p>
          <w:p>
            <w:pPr>
              <w:pStyle w:val="ListParagraph"/>
              <w:numPr>
                <w:ilvl w:val="0"/>
                <w:numId w:val="8"/>
              </w:numPr>
              <w:spacing w:line="240" w:lineRule="auto"/>
              <w:rPr>
                <w:rFonts w:ascii="Trebuchet MS" w:hAnsi="Trebuchet MS"/>
                <w:noProof/>
                <w:sz w:val="22"/>
                <w:szCs w:val="22"/>
              </w:rPr>
            </w:pPr>
            <w:r>
              <w:rPr>
                <w:rFonts w:ascii="Trebuchet MS" w:hAnsi="Trebuchet MS"/>
                <w:noProof/>
                <w:sz w:val="22"/>
                <w:szCs w:val="22"/>
              </w:rPr>
              <w:t>Regiune dezvoltata – 200 persoane</w:t>
            </w:r>
          </w:p>
          <w:p>
            <w:pPr>
              <w:pStyle w:val="ListParagraph"/>
              <w:numPr>
                <w:ilvl w:val="0"/>
                <w:numId w:val="9"/>
              </w:numPr>
              <w:spacing w:line="240" w:lineRule="auto"/>
              <w:rPr>
                <w:rFonts w:ascii="Trebuchet MS" w:hAnsi="Trebuchet MS"/>
                <w:noProof/>
                <w:sz w:val="22"/>
                <w:szCs w:val="22"/>
              </w:rPr>
            </w:pPr>
            <w:r>
              <w:rPr>
                <w:rFonts w:ascii="Trebuchet MS" w:hAnsi="Trebuchet MS"/>
                <w:noProof/>
                <w:sz w:val="22"/>
                <w:szCs w:val="22"/>
              </w:rPr>
              <w:t>Este obligatoriu ca minimum 50% din grupul tinta aferent acestui indicator sa beneficieze de masuri de ocupare</w:t>
            </w:r>
          </w:p>
        </w:tc>
      </w:tr>
      <w:tr>
        <w:trPr>
          <w:trHeight w:val="2195"/>
          <w:jc w:val="center"/>
        </w:trPr>
        <w:tc>
          <w:tcPr>
            <w:tcW w:w="849" w:type="dxa"/>
            <w:vMerge/>
            <w:tcBorders>
              <w:bottom w:val="single" w:sz="4" w:space="0" w:color="auto"/>
            </w:tcBorders>
          </w:tcPr>
          <w:p>
            <w:pPr>
              <w:spacing w:line="240" w:lineRule="auto"/>
              <w:rPr>
                <w:rFonts w:ascii="Trebuchet MS" w:hAnsi="Trebuchet MS"/>
                <w:noProof/>
              </w:rPr>
            </w:pPr>
          </w:p>
        </w:tc>
        <w:tc>
          <w:tcPr>
            <w:tcW w:w="2132" w:type="dxa"/>
            <w:vMerge/>
            <w:tcBorders>
              <w:bottom w:val="single" w:sz="4" w:space="0" w:color="auto"/>
            </w:tcBorders>
          </w:tcPr>
          <w:p>
            <w:pPr>
              <w:pStyle w:val="NoSpacing"/>
              <w:numPr>
                <w:ilvl w:val="0"/>
                <w:numId w:val="5"/>
              </w:numPr>
              <w:jc w:val="left"/>
              <w:rPr>
                <w:rFonts w:ascii="Trebuchet MS" w:hAnsi="Trebuchet MS"/>
                <w:noProof/>
              </w:rPr>
            </w:pPr>
          </w:p>
        </w:tc>
        <w:tc>
          <w:tcPr>
            <w:tcW w:w="2559" w:type="dxa"/>
            <w:tcBorders>
              <w:bottom w:val="single" w:sz="4" w:space="0" w:color="auto"/>
            </w:tcBorders>
          </w:tcPr>
          <w:p>
            <w:pPr>
              <w:spacing w:line="240" w:lineRule="auto"/>
              <w:jc w:val="both"/>
              <w:rPr>
                <w:rFonts w:ascii="Trebuchet MS" w:hAnsi="Trebuchet MS"/>
                <w:noProof/>
              </w:rPr>
            </w:pPr>
            <w:r>
              <w:rPr>
                <w:rFonts w:ascii="Trebuchet MS" w:hAnsi="Trebuchet MS"/>
                <w:b/>
                <w:bCs/>
                <w:noProof/>
                <w:w w:val="107"/>
              </w:rPr>
              <w:t>4S148</w:t>
            </w:r>
            <w:r>
              <w:rPr>
                <w:rFonts w:ascii="Trebuchet MS" w:hAnsi="Trebuchet MS"/>
                <w:noProof/>
                <w:w w:val="107"/>
              </w:rPr>
              <w:t>Servicii la nivelul comunitatilor marginalizate</w:t>
            </w:r>
            <w:r>
              <w:rPr>
                <w:rFonts w:ascii="Trebuchet MS" w:hAnsi="Trebuchet MS"/>
                <w:noProof/>
              </w:rPr>
              <w:t xml:space="preserve"> aflate in risc de saracie si excluziune sociala care beneficiaza de prijin, din care:</w:t>
            </w:r>
          </w:p>
          <w:p>
            <w:pPr>
              <w:pStyle w:val="ListParagraph"/>
              <w:numPr>
                <w:ilvl w:val="0"/>
                <w:numId w:val="7"/>
              </w:numPr>
              <w:spacing w:line="240" w:lineRule="auto"/>
              <w:jc w:val="both"/>
              <w:rPr>
                <w:rFonts w:ascii="Trebuchet MS" w:hAnsi="Trebuchet MS"/>
                <w:noProof/>
                <w:sz w:val="22"/>
                <w:szCs w:val="22"/>
              </w:rPr>
            </w:pPr>
            <w:r>
              <w:rPr>
                <w:rFonts w:ascii="Trebuchet MS" w:hAnsi="Trebuchet MS"/>
                <w:noProof/>
                <w:sz w:val="22"/>
                <w:szCs w:val="22"/>
              </w:rPr>
              <w:t xml:space="preserve">Servicii medicale: </w:t>
            </w:r>
            <w:r>
              <w:rPr>
                <w:rFonts w:ascii="Trebuchet MS" w:hAnsi="Trebuchet MS"/>
                <w:b/>
                <w:bCs/>
                <w:noProof/>
                <w:sz w:val="22"/>
                <w:szCs w:val="22"/>
              </w:rPr>
              <w:t>1</w:t>
            </w:r>
          </w:p>
          <w:p>
            <w:pPr>
              <w:pStyle w:val="ListParagraph"/>
              <w:numPr>
                <w:ilvl w:val="0"/>
                <w:numId w:val="7"/>
              </w:numPr>
              <w:spacing w:line="240" w:lineRule="auto"/>
              <w:jc w:val="both"/>
              <w:rPr>
                <w:rFonts w:ascii="Trebuchet MS" w:hAnsi="Trebuchet MS"/>
                <w:noProof/>
                <w:sz w:val="22"/>
                <w:szCs w:val="22"/>
              </w:rPr>
            </w:pPr>
            <w:r>
              <w:rPr>
                <w:rFonts w:ascii="Trebuchet MS" w:hAnsi="Trebuchet MS"/>
                <w:noProof/>
                <w:sz w:val="22"/>
                <w:szCs w:val="22"/>
              </w:rPr>
              <w:t xml:space="preserve">Servicii sociale: </w:t>
            </w:r>
            <w:r>
              <w:rPr>
                <w:rFonts w:ascii="Trebuchet MS" w:hAnsi="Trebuchet MS"/>
                <w:b/>
                <w:bCs/>
                <w:noProof/>
                <w:sz w:val="22"/>
                <w:szCs w:val="22"/>
              </w:rPr>
              <w:t>1</w:t>
            </w:r>
          </w:p>
          <w:p>
            <w:pPr>
              <w:pStyle w:val="ListParagraph"/>
              <w:numPr>
                <w:ilvl w:val="0"/>
                <w:numId w:val="7"/>
              </w:numPr>
              <w:spacing w:line="240" w:lineRule="auto"/>
              <w:jc w:val="both"/>
              <w:rPr>
                <w:rFonts w:ascii="Trebuchet MS" w:hAnsi="Trebuchet MS"/>
                <w:noProof/>
                <w:sz w:val="22"/>
                <w:szCs w:val="22"/>
              </w:rPr>
            </w:pPr>
            <w:r>
              <w:rPr>
                <w:rFonts w:ascii="Trebuchet MS" w:hAnsi="Trebuchet MS"/>
                <w:noProof/>
                <w:sz w:val="22"/>
                <w:szCs w:val="22"/>
              </w:rPr>
              <w:t xml:space="preserve">Servicii socio-medicale: </w:t>
            </w:r>
            <w:r>
              <w:rPr>
                <w:rFonts w:ascii="Trebuchet MS" w:hAnsi="Trebuchet MS"/>
                <w:b/>
                <w:bCs/>
                <w:noProof/>
                <w:sz w:val="22"/>
                <w:szCs w:val="22"/>
              </w:rPr>
              <w:t>1</w:t>
            </w:r>
          </w:p>
        </w:tc>
        <w:tc>
          <w:tcPr>
            <w:tcW w:w="2559" w:type="dxa"/>
            <w:vMerge/>
            <w:tcBorders>
              <w:bottom w:val="single" w:sz="4" w:space="0" w:color="auto"/>
            </w:tcBorders>
          </w:tcPr>
          <w:p>
            <w:pPr>
              <w:pStyle w:val="ListParagraph"/>
              <w:numPr>
                <w:ilvl w:val="0"/>
                <w:numId w:val="9"/>
              </w:numPr>
              <w:spacing w:line="240" w:lineRule="auto"/>
              <w:rPr>
                <w:rFonts w:ascii="Trebuchet MS" w:hAnsi="Trebuchet MS"/>
                <w:noProof/>
                <w:sz w:val="22"/>
                <w:szCs w:val="22"/>
                <w:vertAlign w:val="superscript"/>
              </w:rPr>
            </w:pPr>
          </w:p>
        </w:tc>
      </w:tr>
      <w:tr>
        <w:trPr>
          <w:trHeight w:val="131"/>
          <w:jc w:val="center"/>
        </w:trPr>
        <w:tc>
          <w:tcPr>
            <w:tcW w:w="849" w:type="dxa"/>
            <w:vMerge w:val="restart"/>
            <w:vAlign w:val="center"/>
          </w:tcPr>
          <w:p>
            <w:pPr>
              <w:spacing w:line="240" w:lineRule="auto"/>
              <w:rPr>
                <w:rFonts w:ascii="Trebuchet MS" w:hAnsi="Trebuchet MS"/>
                <w:b/>
                <w:bCs/>
                <w:noProof/>
              </w:rPr>
            </w:pPr>
            <w:r>
              <w:rPr>
                <w:rFonts w:ascii="Trebuchet MS" w:hAnsi="Trebuchet MS"/>
                <w:b/>
                <w:bCs/>
                <w:noProof/>
              </w:rPr>
              <w:t>Indicatori de rezultat</w:t>
            </w:r>
          </w:p>
        </w:tc>
        <w:tc>
          <w:tcPr>
            <w:tcW w:w="2132" w:type="dxa"/>
            <w:vMerge w:val="restart"/>
          </w:tcPr>
          <w:p>
            <w:pPr>
              <w:pStyle w:val="ListParagraph"/>
              <w:numPr>
                <w:ilvl w:val="0"/>
                <w:numId w:val="5"/>
              </w:numPr>
              <w:spacing w:line="240" w:lineRule="auto"/>
              <w:rPr>
                <w:rFonts w:ascii="Trebuchet MS" w:hAnsi="Trebuchet MS"/>
                <w:noProof/>
              </w:rPr>
            </w:pPr>
            <w:r>
              <w:rPr>
                <w:rFonts w:ascii="Trebuchet MS" w:hAnsi="Trebuchet MS"/>
                <w:noProof/>
              </w:rPr>
              <w:t xml:space="preserve">Populatia aflata in risc de saracie si excluziune sociala din zonele marginalizate </w:t>
            </w:r>
            <w:r>
              <w:rPr>
                <w:rFonts w:ascii="Trebuchet MS" w:hAnsi="Trebuchet MS"/>
                <w:noProof/>
              </w:rPr>
              <w:lastRenderedPageBreak/>
              <w:t>urbane (</w:t>
            </w:r>
            <w:r>
              <w:rPr>
                <w:rFonts w:ascii="Trebuchet MS" w:hAnsi="Trebuchet MS"/>
                <w:b/>
                <w:bCs/>
                <w:noProof/>
              </w:rPr>
              <w:t>1S45)</w:t>
            </w:r>
            <w:r>
              <w:rPr>
                <w:rFonts w:ascii="Trebuchet MS" w:hAnsi="Trebuchet MS"/>
                <w:noProof/>
              </w:rPr>
              <w:t xml:space="preserve"> – se va avea in vedere scaderea numarului acestei populatii</w:t>
            </w:r>
          </w:p>
          <w:p>
            <w:pPr>
              <w:pStyle w:val="ListParagraph"/>
              <w:numPr>
                <w:ilvl w:val="0"/>
                <w:numId w:val="5"/>
              </w:numPr>
              <w:spacing w:line="240" w:lineRule="auto"/>
              <w:rPr>
                <w:rFonts w:ascii="Trebuchet MS" w:hAnsi="Trebuchet MS"/>
                <w:noProof/>
              </w:rPr>
            </w:pPr>
            <w:r>
              <w:rPr>
                <w:rFonts w:ascii="Trebuchet MS" w:hAnsi="Trebuchet MS"/>
                <w:noProof/>
              </w:rPr>
              <w:t>Nota: Acest indicator nu face obiectul monitorizarii si raportarii beneficiarului, fiind in responsabilitatea AMPOR.</w:t>
            </w:r>
          </w:p>
        </w:tc>
        <w:tc>
          <w:tcPr>
            <w:tcW w:w="2559" w:type="dxa"/>
          </w:tcPr>
          <w:p>
            <w:pPr>
              <w:spacing w:line="240" w:lineRule="auto"/>
              <w:jc w:val="both"/>
              <w:rPr>
                <w:rFonts w:ascii="Trebuchet MS" w:hAnsi="Trebuchet MS"/>
                <w:b/>
                <w:bCs/>
                <w:noProof/>
              </w:rPr>
            </w:pPr>
            <w:r>
              <w:rPr>
                <w:rFonts w:ascii="Trebuchet MS" w:hAnsi="Trebuchet MS"/>
                <w:b/>
                <w:bCs/>
                <w:noProof/>
              </w:rPr>
              <w:lastRenderedPageBreak/>
              <w:t>4S63</w:t>
            </w:r>
            <w:r>
              <w:rPr>
                <w:rFonts w:ascii="Trebuchet MS" w:hAnsi="Trebuchet MS"/>
                <w:noProof/>
              </w:rPr>
              <w:t xml:space="preserve">Persoane din comunitatile marginalizate aflate in risc de saracie si </w:t>
            </w:r>
            <w:r>
              <w:rPr>
                <w:rFonts w:ascii="Trebuchet MS" w:hAnsi="Trebuchet MS"/>
                <w:noProof/>
              </w:rPr>
              <w:lastRenderedPageBreak/>
              <w:t xml:space="preserve">excluziune sociala care dobandesc o calificare, la incetarea calitatii de participant, din care: </w:t>
            </w:r>
            <w:r>
              <w:rPr>
                <w:rFonts w:ascii="Trebuchet MS" w:hAnsi="Trebuchet MS"/>
                <w:b/>
                <w:bCs/>
                <w:noProof/>
              </w:rPr>
              <w:t>210</w:t>
            </w:r>
          </w:p>
          <w:p>
            <w:pPr>
              <w:pStyle w:val="ListParagraph"/>
              <w:numPr>
                <w:ilvl w:val="0"/>
                <w:numId w:val="10"/>
              </w:numPr>
              <w:spacing w:line="240" w:lineRule="auto"/>
              <w:jc w:val="both"/>
              <w:rPr>
                <w:rFonts w:ascii="Trebuchet MS" w:hAnsi="Trebuchet MS"/>
                <w:noProof/>
                <w:sz w:val="22"/>
                <w:szCs w:val="22"/>
              </w:rPr>
            </w:pPr>
            <w:r>
              <w:rPr>
                <w:rFonts w:ascii="Trebuchet MS" w:hAnsi="Trebuchet MS"/>
                <w:noProof/>
                <w:sz w:val="22"/>
                <w:szCs w:val="22"/>
              </w:rPr>
              <w:t xml:space="preserve">Roma: </w:t>
            </w:r>
            <w:r>
              <w:rPr>
                <w:rFonts w:ascii="Trebuchet MS" w:hAnsi="Trebuchet MS"/>
                <w:b/>
                <w:bCs/>
                <w:noProof/>
                <w:sz w:val="22"/>
                <w:szCs w:val="22"/>
              </w:rPr>
              <w:t>21</w:t>
            </w:r>
          </w:p>
        </w:tc>
        <w:tc>
          <w:tcPr>
            <w:tcW w:w="2559" w:type="dxa"/>
          </w:tcPr>
          <w:p>
            <w:pPr>
              <w:spacing w:line="240" w:lineRule="auto"/>
              <w:jc w:val="center"/>
              <w:rPr>
                <w:rFonts w:ascii="Trebuchet MS" w:hAnsi="Trebuchet MS"/>
                <w:noProof/>
              </w:rPr>
            </w:pPr>
            <w:r>
              <w:rPr>
                <w:rFonts w:ascii="Trebuchet MS" w:hAnsi="Trebuchet MS"/>
                <w:noProof/>
              </w:rPr>
              <w:lastRenderedPageBreak/>
              <w:t>50% din numarul persoanelor care beneficiaza de masuri de ocupare</w:t>
            </w:r>
          </w:p>
        </w:tc>
      </w:tr>
      <w:tr>
        <w:trPr>
          <w:trHeight w:val="131"/>
          <w:jc w:val="center"/>
        </w:trPr>
        <w:tc>
          <w:tcPr>
            <w:tcW w:w="849" w:type="dxa"/>
            <w:vMerge/>
          </w:tcPr>
          <w:p>
            <w:pPr>
              <w:spacing w:line="240" w:lineRule="auto"/>
              <w:rPr>
                <w:rFonts w:ascii="Trebuchet MS" w:hAnsi="Trebuchet MS"/>
                <w:noProof/>
              </w:rPr>
            </w:pPr>
          </w:p>
        </w:tc>
        <w:tc>
          <w:tcPr>
            <w:tcW w:w="2132" w:type="dxa"/>
            <w:vMerge/>
          </w:tcPr>
          <w:p>
            <w:pPr>
              <w:pStyle w:val="ListParagraph"/>
              <w:numPr>
                <w:ilvl w:val="0"/>
                <w:numId w:val="5"/>
              </w:numPr>
              <w:spacing w:line="240" w:lineRule="auto"/>
              <w:rPr>
                <w:rFonts w:ascii="Trebuchet MS" w:hAnsi="Trebuchet MS"/>
                <w:noProof/>
              </w:rPr>
            </w:pPr>
          </w:p>
        </w:tc>
        <w:tc>
          <w:tcPr>
            <w:tcW w:w="2559" w:type="dxa"/>
          </w:tcPr>
          <w:p>
            <w:pPr>
              <w:spacing w:line="240" w:lineRule="auto"/>
              <w:jc w:val="both"/>
              <w:rPr>
                <w:rFonts w:ascii="Trebuchet MS" w:hAnsi="Trebuchet MS"/>
                <w:b/>
                <w:bCs/>
                <w:noProof/>
              </w:rPr>
            </w:pPr>
            <w:r>
              <w:rPr>
                <w:rFonts w:ascii="Trebuchet MS" w:hAnsi="Trebuchet MS"/>
                <w:b/>
                <w:bCs/>
                <w:noProof/>
              </w:rPr>
              <w:t xml:space="preserve">4S64 </w:t>
            </w:r>
            <w:r>
              <w:rPr>
                <w:rFonts w:ascii="Trebuchet MS" w:hAnsi="Trebuchet MS"/>
                <w:noProof/>
              </w:rPr>
              <w:t xml:space="preserve">Persoane din comunitatile marginalizate aflate in risc de saracie si excuziune sociala care au un loc de munca, inclusiv cele care desfasoara o activitate independenta, la incetarea calitatii de participant, din care : </w:t>
            </w:r>
            <w:r>
              <w:rPr>
                <w:rFonts w:ascii="Trebuchet MS" w:hAnsi="Trebuchet MS"/>
                <w:b/>
                <w:bCs/>
                <w:noProof/>
              </w:rPr>
              <w:t>53</w:t>
            </w:r>
          </w:p>
          <w:p>
            <w:pPr>
              <w:pStyle w:val="ListParagraph"/>
              <w:numPr>
                <w:ilvl w:val="0"/>
                <w:numId w:val="10"/>
              </w:numPr>
              <w:spacing w:line="240" w:lineRule="auto"/>
              <w:jc w:val="both"/>
              <w:rPr>
                <w:rFonts w:ascii="Trebuchet MS" w:hAnsi="Trebuchet MS"/>
                <w:noProof/>
                <w:sz w:val="22"/>
                <w:szCs w:val="22"/>
              </w:rPr>
            </w:pPr>
            <w:r>
              <w:rPr>
                <w:rFonts w:ascii="Trebuchet MS" w:hAnsi="Trebuchet MS"/>
                <w:noProof/>
                <w:sz w:val="22"/>
                <w:szCs w:val="22"/>
              </w:rPr>
              <w:t xml:space="preserve">Roma: </w:t>
            </w:r>
            <w:r>
              <w:rPr>
                <w:rFonts w:ascii="Trebuchet MS" w:hAnsi="Trebuchet MS"/>
                <w:b/>
                <w:bCs/>
                <w:noProof/>
                <w:sz w:val="22"/>
                <w:szCs w:val="22"/>
              </w:rPr>
              <w:t>6</w:t>
            </w:r>
          </w:p>
        </w:tc>
        <w:tc>
          <w:tcPr>
            <w:tcW w:w="2559" w:type="dxa"/>
          </w:tcPr>
          <w:p>
            <w:pPr>
              <w:spacing w:line="240" w:lineRule="auto"/>
              <w:jc w:val="center"/>
              <w:rPr>
                <w:rFonts w:ascii="Trebuchet MS" w:hAnsi="Trebuchet MS"/>
                <w:noProof/>
              </w:rPr>
            </w:pPr>
            <w:r>
              <w:rPr>
                <w:rFonts w:ascii="Trebuchet MS" w:hAnsi="Trebuchet MS"/>
                <w:noProof/>
              </w:rPr>
              <w:t>25% din numarul persoanelor care beneficiaza de masuri de ocupare</w:t>
            </w:r>
          </w:p>
        </w:tc>
      </w:tr>
      <w:tr>
        <w:trPr>
          <w:trHeight w:val="131"/>
          <w:jc w:val="center"/>
        </w:trPr>
        <w:tc>
          <w:tcPr>
            <w:tcW w:w="849" w:type="dxa"/>
            <w:vMerge/>
          </w:tcPr>
          <w:p>
            <w:pPr>
              <w:spacing w:line="240" w:lineRule="auto"/>
              <w:rPr>
                <w:rFonts w:ascii="Trebuchet MS" w:hAnsi="Trebuchet MS"/>
                <w:noProof/>
              </w:rPr>
            </w:pPr>
          </w:p>
        </w:tc>
        <w:tc>
          <w:tcPr>
            <w:tcW w:w="2132" w:type="dxa"/>
            <w:vMerge/>
          </w:tcPr>
          <w:p>
            <w:pPr>
              <w:pStyle w:val="ListParagraph"/>
              <w:numPr>
                <w:ilvl w:val="0"/>
                <w:numId w:val="5"/>
              </w:numPr>
              <w:spacing w:line="240" w:lineRule="auto"/>
              <w:rPr>
                <w:rFonts w:ascii="Trebuchet MS" w:hAnsi="Trebuchet MS"/>
                <w:noProof/>
              </w:rPr>
            </w:pPr>
          </w:p>
        </w:tc>
        <w:tc>
          <w:tcPr>
            <w:tcW w:w="2559" w:type="dxa"/>
          </w:tcPr>
          <w:p>
            <w:pPr>
              <w:spacing w:line="240" w:lineRule="auto"/>
              <w:jc w:val="both"/>
              <w:rPr>
                <w:rFonts w:ascii="Trebuchet MS" w:hAnsi="Trebuchet MS"/>
                <w:noProof/>
              </w:rPr>
            </w:pPr>
            <w:r>
              <w:rPr>
                <w:rFonts w:ascii="Trebuchet MS" w:hAnsi="Trebuchet MS"/>
                <w:b/>
                <w:bCs/>
                <w:noProof/>
              </w:rPr>
              <w:t xml:space="preserve">4S146 </w:t>
            </w:r>
            <w:r>
              <w:rPr>
                <w:rFonts w:ascii="Trebuchet MS" w:hAnsi="Trebuchet MS"/>
                <w:noProof/>
              </w:rPr>
              <w:t>Servicii la nivelul comunitatilor marginalizate aflate in risc de saracie si excluziune sociala functionale, din care:</w:t>
            </w:r>
          </w:p>
          <w:p>
            <w:pPr>
              <w:pStyle w:val="ListParagraph"/>
              <w:numPr>
                <w:ilvl w:val="0"/>
                <w:numId w:val="10"/>
              </w:numPr>
              <w:spacing w:line="240" w:lineRule="auto"/>
              <w:jc w:val="both"/>
              <w:rPr>
                <w:rFonts w:ascii="Trebuchet MS" w:hAnsi="Trebuchet MS"/>
                <w:noProof/>
                <w:sz w:val="22"/>
                <w:szCs w:val="22"/>
              </w:rPr>
            </w:pPr>
            <w:r>
              <w:rPr>
                <w:rFonts w:ascii="Trebuchet MS" w:hAnsi="Trebuchet MS"/>
                <w:noProof/>
                <w:sz w:val="22"/>
                <w:szCs w:val="22"/>
              </w:rPr>
              <w:t xml:space="preserve">Servicii medicale: </w:t>
            </w:r>
            <w:r>
              <w:rPr>
                <w:rFonts w:ascii="Trebuchet MS" w:hAnsi="Trebuchet MS"/>
                <w:b/>
                <w:bCs/>
                <w:noProof/>
                <w:sz w:val="22"/>
                <w:szCs w:val="22"/>
              </w:rPr>
              <w:t>1</w:t>
            </w:r>
          </w:p>
          <w:p>
            <w:pPr>
              <w:pStyle w:val="ListParagraph"/>
              <w:numPr>
                <w:ilvl w:val="0"/>
                <w:numId w:val="10"/>
              </w:numPr>
              <w:spacing w:line="240" w:lineRule="auto"/>
              <w:jc w:val="both"/>
              <w:rPr>
                <w:rFonts w:ascii="Trebuchet MS" w:hAnsi="Trebuchet MS"/>
                <w:noProof/>
                <w:sz w:val="22"/>
                <w:szCs w:val="22"/>
              </w:rPr>
            </w:pPr>
            <w:r>
              <w:rPr>
                <w:rFonts w:ascii="Trebuchet MS" w:hAnsi="Trebuchet MS"/>
                <w:noProof/>
                <w:sz w:val="22"/>
                <w:szCs w:val="22"/>
              </w:rPr>
              <w:t xml:space="preserve">Servicii sociale: </w:t>
            </w:r>
            <w:r>
              <w:rPr>
                <w:rFonts w:ascii="Trebuchet MS" w:hAnsi="Trebuchet MS"/>
                <w:b/>
                <w:bCs/>
                <w:noProof/>
                <w:sz w:val="22"/>
                <w:szCs w:val="22"/>
              </w:rPr>
              <w:t>1</w:t>
            </w:r>
          </w:p>
          <w:p>
            <w:pPr>
              <w:pStyle w:val="ListParagraph"/>
              <w:numPr>
                <w:ilvl w:val="0"/>
                <w:numId w:val="10"/>
              </w:numPr>
              <w:spacing w:line="240" w:lineRule="auto"/>
              <w:jc w:val="both"/>
              <w:rPr>
                <w:rFonts w:ascii="Trebuchet MS" w:hAnsi="Trebuchet MS"/>
                <w:noProof/>
                <w:sz w:val="22"/>
                <w:szCs w:val="22"/>
              </w:rPr>
            </w:pPr>
            <w:r>
              <w:rPr>
                <w:rFonts w:ascii="Trebuchet MS" w:hAnsi="Trebuchet MS"/>
                <w:noProof/>
                <w:sz w:val="22"/>
                <w:szCs w:val="22"/>
              </w:rPr>
              <w:t xml:space="preserve">Servicii socio-medicale: </w:t>
            </w:r>
            <w:r>
              <w:rPr>
                <w:rFonts w:ascii="Trebuchet MS" w:hAnsi="Trebuchet MS"/>
                <w:b/>
                <w:bCs/>
                <w:noProof/>
                <w:sz w:val="22"/>
                <w:szCs w:val="22"/>
              </w:rPr>
              <w:t>1</w:t>
            </w:r>
          </w:p>
        </w:tc>
        <w:tc>
          <w:tcPr>
            <w:tcW w:w="2559" w:type="dxa"/>
          </w:tcPr>
          <w:p>
            <w:pPr>
              <w:spacing w:line="240" w:lineRule="auto"/>
              <w:jc w:val="center"/>
              <w:rPr>
                <w:rFonts w:ascii="Trebuchet MS" w:hAnsi="Trebuchet MS"/>
                <w:noProof/>
              </w:rPr>
            </w:pPr>
            <w:r>
              <w:rPr>
                <w:rFonts w:ascii="Trebuchet MS" w:hAnsi="Trebuchet MS"/>
                <w:noProof/>
              </w:rPr>
              <w:t>70% din tinta indicatorului de realizare Servicii la nivelul comunitatilor marginalizate aflate in risc de saracie si excluziune sociala care beneficiaza de sprijin.</w:t>
            </w:r>
          </w:p>
        </w:tc>
      </w:tr>
    </w:tbl>
    <w:p>
      <w:pPr>
        <w:spacing w:before="120" w:after="120" w:line="240" w:lineRule="auto"/>
        <w:jc w:val="both"/>
        <w:rPr>
          <w:rFonts w:ascii="Trebuchet MS" w:eastAsia="SimSun" w:hAnsi="Trebuchet MS"/>
          <w:b/>
          <w:bCs/>
        </w:rPr>
      </w:pPr>
      <w:r>
        <w:rPr>
          <w:rFonts w:ascii="Trebuchet MS" w:eastAsia="SimSun" w:hAnsi="Trebuchet MS"/>
          <w:b/>
          <w:bCs/>
        </w:rPr>
        <w:t>In conceperea propunerii de proiect POR si apoi in dezvoltarea proiectelor mature cevor fi inc</w:t>
      </w:r>
      <w:r>
        <w:rPr>
          <w:rFonts w:ascii="Trebuchet MS" w:hAnsi="Trebuchet MS"/>
          <w:b/>
          <w:bCs/>
          <w:lang w:val="ro-RO"/>
        </w:rPr>
        <w:t>ă</w:t>
      </w:r>
      <w:r>
        <w:rPr>
          <w:rFonts w:ascii="Trebuchet MS" w:eastAsia="SimSun" w:hAnsi="Trebuchet MS"/>
          <w:b/>
          <w:bCs/>
        </w:rPr>
        <w:t>rcate in mysmis ,vor fi avu</w:t>
      </w:r>
      <w:r>
        <w:rPr>
          <w:rFonts w:ascii="Trebuchet MS" w:hAnsi="Trebuchet MS"/>
          <w:b/>
        </w:rPr>
        <w:t>ț</w:t>
      </w:r>
      <w:r>
        <w:rPr>
          <w:rFonts w:ascii="Trebuchet MS" w:eastAsia="SimSun" w:hAnsi="Trebuchet MS"/>
          <w:b/>
          <w:bCs/>
        </w:rPr>
        <w:t xml:space="preserve">i in vedere </w:t>
      </w:r>
      <w:r>
        <w:rPr>
          <w:rFonts w:ascii="Trebuchet MS" w:hAnsi="Trebuchet MS"/>
          <w:b/>
          <w:bCs/>
          <w:lang w:val="ro-RO"/>
        </w:rPr>
        <w:t>ş</w:t>
      </w:r>
      <w:r>
        <w:rPr>
          <w:rFonts w:ascii="Trebuchet MS" w:eastAsia="SimSun" w:hAnsi="Trebuchet MS"/>
          <w:b/>
          <w:bCs/>
        </w:rPr>
        <w:t>i indicatorii POCU , dat fiind corelarea intereven</w:t>
      </w:r>
      <w:r>
        <w:rPr>
          <w:rFonts w:ascii="Trebuchet MS" w:hAnsi="Trebuchet MS"/>
          <w:b/>
        </w:rPr>
        <w:t>ț</w:t>
      </w:r>
      <w:r>
        <w:rPr>
          <w:rFonts w:ascii="Trebuchet MS" w:eastAsia="SimSun" w:hAnsi="Trebuchet MS"/>
          <w:b/>
          <w:bCs/>
        </w:rPr>
        <w:t>iilor POR cu intereven</w:t>
      </w:r>
      <w:r>
        <w:rPr>
          <w:rFonts w:ascii="Trebuchet MS" w:hAnsi="Trebuchet MS"/>
          <w:b/>
        </w:rPr>
        <w:t>ț</w:t>
      </w:r>
      <w:r>
        <w:rPr>
          <w:rFonts w:ascii="Trebuchet MS" w:eastAsia="SimSun" w:hAnsi="Trebuchet MS"/>
          <w:b/>
          <w:bCs/>
        </w:rPr>
        <w:t xml:space="preserve">iile POCU </w:t>
      </w:r>
      <w:r>
        <w:rPr>
          <w:rFonts w:ascii="Trebuchet MS" w:hAnsi="Trebuchet MS"/>
          <w:b/>
          <w:bCs/>
          <w:lang w:val="ro-RO"/>
        </w:rPr>
        <w:t>ş</w:t>
      </w:r>
      <w:r>
        <w:rPr>
          <w:rFonts w:ascii="Trebuchet MS" w:eastAsia="SimSun" w:hAnsi="Trebuchet MS"/>
          <w:b/>
          <w:bCs/>
        </w:rPr>
        <w:t>i implicit indicatorii POCU asuma</w:t>
      </w:r>
      <w:r>
        <w:rPr>
          <w:rFonts w:ascii="Trebuchet MS" w:hAnsi="Trebuchet MS"/>
          <w:b/>
        </w:rPr>
        <w:t>ț</w:t>
      </w:r>
      <w:r>
        <w:rPr>
          <w:rFonts w:ascii="Trebuchet MS" w:eastAsia="SimSun" w:hAnsi="Trebuchet MS"/>
          <w:b/>
          <w:bCs/>
        </w:rPr>
        <w:t>i in SDL.</w:t>
      </w:r>
    </w:p>
    <w:p>
      <w:pPr>
        <w:pStyle w:val="Heading1"/>
        <w:spacing w:line="240" w:lineRule="auto"/>
        <w:jc w:val="both"/>
        <w:rPr>
          <w:rFonts w:ascii="Trebuchet MS" w:hAnsi="Trebuchet MS"/>
          <w:noProof/>
          <w:color w:val="auto"/>
          <w:spacing w:val="-2"/>
          <w:sz w:val="22"/>
          <w:szCs w:val="22"/>
          <w:lang w:val="ro-RO"/>
        </w:rPr>
      </w:pPr>
      <w:bookmarkStart w:id="19" w:name="_Toc41298484"/>
      <w:r>
        <w:rPr>
          <w:rFonts w:ascii="Trebuchet MS" w:hAnsi="Trebuchet MS"/>
          <w:noProof/>
          <w:color w:val="auto"/>
          <w:spacing w:val="-1"/>
          <w:sz w:val="22"/>
          <w:szCs w:val="22"/>
          <w:lang w:val="ro-RO"/>
        </w:rPr>
        <w:t xml:space="preserve">Indicatori </w:t>
      </w:r>
      <w:r>
        <w:rPr>
          <w:rFonts w:ascii="Trebuchet MS" w:hAnsi="Trebuchet MS"/>
          <w:noProof/>
          <w:color w:val="auto"/>
          <w:sz w:val="22"/>
          <w:szCs w:val="22"/>
          <w:lang w:val="ro-RO"/>
        </w:rPr>
        <w:t xml:space="preserve">de </w:t>
      </w:r>
      <w:r>
        <w:rPr>
          <w:rFonts w:ascii="Trebuchet MS" w:hAnsi="Trebuchet MS"/>
          <w:noProof/>
          <w:color w:val="auto"/>
          <w:spacing w:val="-1"/>
          <w:sz w:val="22"/>
          <w:szCs w:val="22"/>
          <w:lang w:val="ro-RO"/>
        </w:rPr>
        <w:t xml:space="preserve">rezultat </w:t>
      </w:r>
      <w:r>
        <w:rPr>
          <w:rFonts w:ascii="Trebuchet MS" w:hAnsi="Trebuchet MS"/>
          <w:noProof/>
          <w:color w:val="auto"/>
          <w:sz w:val="22"/>
          <w:szCs w:val="22"/>
          <w:lang w:val="ro-RO"/>
        </w:rPr>
        <w:t>(</w:t>
      </w:r>
      <w:r>
        <w:rPr>
          <w:rFonts w:ascii="Trebuchet MS" w:hAnsi="Trebuchet MS"/>
          <w:i/>
          <w:noProof/>
          <w:color w:val="auto"/>
          <w:sz w:val="22"/>
          <w:szCs w:val="22"/>
          <w:lang w:val="ro-RO"/>
        </w:rPr>
        <w:t>outcome</w:t>
      </w:r>
      <w:r>
        <w:rPr>
          <w:rFonts w:ascii="Trebuchet MS" w:hAnsi="Trebuchet MS"/>
          <w:noProof/>
          <w:color w:val="auto"/>
          <w:sz w:val="22"/>
          <w:szCs w:val="22"/>
          <w:lang w:val="ro-RO"/>
        </w:rPr>
        <w:t xml:space="preserve">) </w:t>
      </w:r>
      <w:r>
        <w:rPr>
          <w:rFonts w:ascii="Trebuchet MS" w:hAnsi="Trebuchet MS"/>
          <w:noProof/>
          <w:color w:val="auto"/>
          <w:spacing w:val="-1"/>
          <w:sz w:val="22"/>
          <w:szCs w:val="22"/>
          <w:lang w:val="ro-RO"/>
        </w:rPr>
        <w:t xml:space="preserve">proprii </w:t>
      </w:r>
      <w:r>
        <w:rPr>
          <w:rFonts w:ascii="Trebuchet MS" w:hAnsi="Trebuchet MS"/>
          <w:noProof/>
          <w:color w:val="auto"/>
          <w:spacing w:val="-2"/>
          <w:sz w:val="22"/>
          <w:szCs w:val="22"/>
          <w:lang w:val="ro-RO"/>
        </w:rPr>
        <w:t>SDL</w:t>
      </w:r>
      <w:bookmarkEnd w:id="19"/>
    </w:p>
    <w:p>
      <w:pPr>
        <w:rPr>
          <w:lang w:val="ro-RO"/>
        </w:rPr>
      </w:pPr>
    </w:p>
    <w:p>
      <w:pPr>
        <w:rPr>
          <w:lang w:val="ro-RO"/>
        </w:rPr>
      </w:pPr>
    </w:p>
    <w:p>
      <w:pPr>
        <w:pStyle w:val="BodyText"/>
        <w:ind w:left="0"/>
        <w:jc w:val="both"/>
        <w:rPr>
          <w:rFonts w:ascii="Trebuchet MS" w:hAnsi="Trebuchet MS"/>
          <w:noProof/>
          <w:spacing w:val="-1"/>
          <w:sz w:val="22"/>
          <w:szCs w:val="22"/>
          <w:lang w:val="ro-RO"/>
        </w:rPr>
      </w:pPr>
      <w:r>
        <w:rPr>
          <w:rFonts w:ascii="Trebuchet MS" w:hAnsi="Trebuchet MS"/>
          <w:noProof/>
          <w:spacing w:val="-1"/>
          <w:sz w:val="22"/>
          <w:szCs w:val="22"/>
          <w:lang w:val="ro-RO"/>
        </w:rPr>
        <w:lastRenderedPageBreak/>
        <w:t>Indicatori</w:t>
      </w:r>
    </w:p>
    <w:p>
      <w:pPr>
        <w:pStyle w:val="BodyText"/>
        <w:ind w:left="0"/>
        <w:jc w:val="both"/>
        <w:rPr>
          <w:rFonts w:ascii="Trebuchet MS" w:hAnsi="Trebuchet MS" w:cs="Calibri"/>
          <w:noProof/>
          <w:sz w:val="22"/>
          <w:szCs w:val="22"/>
          <w:lang w:val="ro-RO"/>
        </w:rPr>
      </w:pPr>
    </w:p>
    <w:tbl>
      <w:tblPr>
        <w:tblW w:w="9919" w:type="dxa"/>
        <w:tblInd w:w="112" w:type="dxa"/>
        <w:tblLayout w:type="fixed"/>
        <w:tblCellMar>
          <w:left w:w="0" w:type="dxa"/>
          <w:right w:w="0" w:type="dxa"/>
        </w:tblCellMar>
        <w:tblLook w:val="01E0" w:firstRow="1" w:lastRow="1" w:firstColumn="1" w:lastColumn="1" w:noHBand="0" w:noVBand="0"/>
      </w:tblPr>
      <w:tblGrid>
        <w:gridCol w:w="6732"/>
        <w:gridCol w:w="579"/>
        <w:gridCol w:w="1037"/>
        <w:gridCol w:w="846"/>
        <w:gridCol w:w="725"/>
      </w:tblGrid>
      <w:tr>
        <w:trPr>
          <w:trHeight w:hRule="exact" w:val="705"/>
        </w:trPr>
        <w:tc>
          <w:tcPr>
            <w:tcW w:w="6732"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UM</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Nivel debază</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Andebază</w:t>
            </w:r>
          </w:p>
        </w:tc>
        <w:tc>
          <w:tcPr>
            <w:tcW w:w="725" w:type="dxa"/>
            <w:tcBorders>
              <w:top w:val="single" w:sz="5" w:space="0" w:color="000000"/>
              <w:left w:val="nil"/>
              <w:bottom w:val="single" w:sz="5" w:space="0" w:color="000000"/>
              <w:right w:val="nil"/>
            </w:tcBorders>
          </w:tcPr>
          <w:p>
            <w:pPr>
              <w:pStyle w:val="TableParagraph"/>
              <w:rPr>
                <w:rFonts w:ascii="Trebuchet MS" w:hAnsi="Trebuchet MS"/>
                <w:noProof/>
                <w:lang w:val="ro-RO"/>
              </w:rPr>
            </w:pPr>
            <w:r>
              <w:rPr>
                <w:rFonts w:ascii="Trebuchet MS" w:hAnsi="Trebuchet MS"/>
                <w:noProof/>
                <w:lang w:val="ro-RO"/>
              </w:rPr>
              <w:t>Țintă</w:t>
            </w:r>
          </w:p>
          <w:p>
            <w:pPr>
              <w:pStyle w:val="TableParagraph"/>
              <w:rPr>
                <w:rFonts w:ascii="Trebuchet MS" w:hAnsi="Trebuchet MS"/>
                <w:noProof/>
                <w:lang w:val="ro-RO"/>
              </w:rPr>
            </w:pPr>
            <w:r>
              <w:rPr>
                <w:rFonts w:ascii="Trebuchet MS" w:hAnsi="Trebuchet MS"/>
                <w:noProof/>
                <w:lang w:val="ro-RO"/>
              </w:rPr>
              <w:t>2020</w:t>
            </w: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eastAsia="Calibri" w:hAnsi="Trebuchet MS" w:cs="Calibri"/>
                <w:noProof/>
                <w:lang w:val="ro-RO"/>
              </w:rPr>
            </w:pPr>
          </w:p>
        </w:tc>
      </w:tr>
      <w:tr>
        <w:trPr>
          <w:trHeight w:hRule="exact" w:val="759"/>
        </w:trPr>
        <w:tc>
          <w:tcPr>
            <w:tcW w:w="6732" w:type="dxa"/>
            <w:tcBorders>
              <w:top w:val="single" w:sz="5" w:space="0" w:color="000000"/>
              <w:left w:val="nil"/>
              <w:bottom w:val="single" w:sz="5" w:space="0" w:color="000000"/>
              <w:right w:val="nil"/>
            </w:tcBorders>
          </w:tcPr>
          <w:p>
            <w:pPr>
              <w:pStyle w:val="BodyText"/>
              <w:spacing w:before="8"/>
              <w:ind w:left="0"/>
              <w:rPr>
                <w:rFonts w:ascii="Trebuchet MS" w:hAnsi="Trebuchet MS"/>
                <w:noProof/>
                <w:sz w:val="22"/>
                <w:szCs w:val="22"/>
                <w:lang w:val="ro-RO"/>
              </w:rPr>
            </w:pPr>
            <w:r>
              <w:rPr>
                <w:rFonts w:ascii="Trebuchet MS" w:hAnsi="Trebuchet MS"/>
                <w:noProof/>
                <w:spacing w:val="-1"/>
                <w:sz w:val="22"/>
                <w:szCs w:val="22"/>
                <w:lang w:val="ro-RO"/>
              </w:rPr>
              <w:t xml:space="preserve">Reducerea ratei </w:t>
            </w:r>
            <w:r>
              <w:rPr>
                <w:rFonts w:ascii="Trebuchet MS" w:hAnsi="Trebuchet MS"/>
                <w:noProof/>
                <w:sz w:val="22"/>
                <w:szCs w:val="22"/>
                <w:lang w:val="ro-RO"/>
              </w:rPr>
              <w:t>sărăciei</w:t>
            </w:r>
            <w:r>
              <w:rPr>
                <w:rFonts w:ascii="Trebuchet MS" w:hAnsi="Trebuchet MS"/>
                <w:noProof/>
                <w:spacing w:val="-1"/>
                <w:sz w:val="22"/>
                <w:szCs w:val="22"/>
                <w:lang w:val="ro-RO"/>
              </w:rPr>
              <w:t>(AROP)</w:t>
            </w:r>
            <w:r>
              <w:rPr>
                <w:rFonts w:ascii="Trebuchet MS" w:hAnsi="Trebuchet MS"/>
                <w:noProof/>
                <w:sz w:val="22"/>
                <w:szCs w:val="22"/>
                <w:lang w:val="ro-RO"/>
              </w:rPr>
              <w:t xml:space="preserve">în </w:t>
            </w:r>
            <w:r>
              <w:rPr>
                <w:rFonts w:ascii="Trebuchet MS" w:hAnsi="Trebuchet MS"/>
                <w:noProof/>
                <w:spacing w:val="-1"/>
                <w:sz w:val="22"/>
                <w:szCs w:val="22"/>
                <w:lang w:val="ro-RO"/>
              </w:rPr>
              <w:t>rândul rezidenților</w:t>
            </w:r>
            <w:r>
              <w:rPr>
                <w:rFonts w:ascii="Trebuchet MS" w:hAnsi="Trebuchet MS"/>
                <w:noProof/>
                <w:sz w:val="22"/>
                <w:szCs w:val="22"/>
                <w:lang w:val="ro-RO"/>
              </w:rPr>
              <w:t xml:space="preserve">  din  </w:t>
            </w:r>
            <w:r>
              <w:rPr>
                <w:rFonts w:ascii="Trebuchet MS" w:hAnsi="Trebuchet MS"/>
                <w:noProof/>
                <w:spacing w:val="-1"/>
                <w:sz w:val="22"/>
                <w:szCs w:val="22"/>
                <w:lang w:val="ro-RO"/>
              </w:rPr>
              <w:t>zona urbană marginalizată (ZUM)</w:t>
            </w:r>
          </w:p>
        </w:tc>
        <w:tc>
          <w:tcPr>
            <w:tcW w:w="579" w:type="dxa"/>
            <w:tcBorders>
              <w:top w:val="single" w:sz="5" w:space="0" w:color="000000"/>
              <w:left w:val="nil"/>
              <w:bottom w:val="single" w:sz="5" w:space="0" w:color="000000"/>
              <w:right w:val="nil"/>
            </w:tcBorders>
          </w:tcPr>
          <w:p>
            <w:pPr>
              <w:pStyle w:val="TableParagraph"/>
              <w:rPr>
                <w:rFonts w:ascii="Trebuchet MS" w:hAnsi="Trebuchet MS"/>
                <w:noProof/>
                <w:spacing w:val="-1"/>
                <w:lang w:val="ro-RO"/>
              </w:rPr>
            </w:pPr>
            <w:r>
              <w:rPr>
                <w:rFonts w:ascii="Trebuchet MS" w:hAnsi="Trebuchet MS"/>
                <w:noProof/>
                <w:spacing w:val="-1"/>
                <w:lang w:val="ro-RO"/>
              </w:rPr>
              <w:t xml:space="preserve"> %</w:t>
            </w:r>
          </w:p>
        </w:tc>
        <w:tc>
          <w:tcPr>
            <w:tcW w:w="1037" w:type="dxa"/>
            <w:tcBorders>
              <w:top w:val="single" w:sz="5" w:space="0" w:color="000000"/>
              <w:left w:val="nil"/>
              <w:bottom w:val="single" w:sz="5" w:space="0" w:color="000000"/>
              <w:right w:val="nil"/>
            </w:tcBorders>
          </w:tcPr>
          <w:p>
            <w:pPr>
              <w:pStyle w:val="TableParagraph"/>
              <w:rPr>
                <w:rFonts w:ascii="Trebuchet MS" w:hAnsi="Trebuchet MS"/>
                <w:noProof/>
                <w:lang w:val="ro-RO"/>
              </w:rPr>
            </w:pPr>
            <w:r>
              <w:rPr>
                <w:rFonts w:ascii="Trebuchet MS" w:hAnsi="Trebuchet MS"/>
                <w:noProof/>
                <w:lang w:val="ro-RO"/>
              </w:rPr>
              <w:t>&gt;90</w:t>
            </w:r>
          </w:p>
        </w:tc>
        <w:tc>
          <w:tcPr>
            <w:tcW w:w="846" w:type="dxa"/>
            <w:tcBorders>
              <w:top w:val="single" w:sz="5" w:space="0" w:color="000000"/>
              <w:left w:val="nil"/>
              <w:bottom w:val="single" w:sz="5" w:space="0" w:color="000000"/>
              <w:right w:val="nil"/>
            </w:tcBorders>
          </w:tcPr>
          <w:p>
            <w:pPr>
              <w:pStyle w:val="TableParagraph"/>
              <w:rPr>
                <w:rFonts w:ascii="Trebuchet MS" w:hAnsi="Trebuchet MS"/>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BodyText"/>
              <w:tabs>
                <w:tab w:val="left" w:pos="763"/>
                <w:tab w:val="left" w:pos="1548"/>
                <w:tab w:val="left" w:pos="2357"/>
              </w:tabs>
              <w:spacing w:before="8"/>
              <w:rPr>
                <w:rFonts w:ascii="Trebuchet MS" w:hAnsi="Trebuchet MS" w:cs="Calibri"/>
                <w:noProof/>
                <w:sz w:val="22"/>
                <w:szCs w:val="22"/>
                <w:lang w:val="ro-RO"/>
              </w:rPr>
            </w:pPr>
            <w:r>
              <w:rPr>
                <w:rFonts w:ascii="Trebuchet MS" w:hAnsi="Trebuchet MS"/>
                <w:noProof/>
                <w:sz w:val="22"/>
                <w:szCs w:val="22"/>
                <w:lang w:val="ro-RO"/>
              </w:rPr>
              <w:t>&lt;80</w:t>
            </w:r>
          </w:p>
          <w:p>
            <w:pPr>
              <w:pStyle w:val="TableParagraph"/>
              <w:rPr>
                <w:rFonts w:ascii="Trebuchet MS" w:hAnsi="Trebuchet MS"/>
                <w:noProof/>
                <w:lang w:val="ro-RO"/>
              </w:rPr>
            </w:pPr>
          </w:p>
        </w:tc>
      </w:tr>
      <w:tr>
        <w:trPr>
          <w:trHeight w:hRule="exact" w:val="552"/>
        </w:trPr>
        <w:tc>
          <w:tcPr>
            <w:tcW w:w="6732" w:type="dxa"/>
            <w:tcBorders>
              <w:top w:val="single" w:sz="5" w:space="0" w:color="000000"/>
              <w:left w:val="nil"/>
              <w:bottom w:val="single" w:sz="5" w:space="0" w:color="000000"/>
              <w:right w:val="nil"/>
            </w:tcBorders>
          </w:tcPr>
          <w:p>
            <w:pPr>
              <w:pStyle w:val="Heading1"/>
              <w:spacing w:before="6" w:line="240" w:lineRule="auto"/>
              <w:rPr>
                <w:rFonts w:ascii="Trebuchet MS" w:hAnsi="Trebuchet MS"/>
                <w:noProof/>
                <w:color w:val="auto"/>
                <w:sz w:val="22"/>
                <w:szCs w:val="22"/>
                <w:lang w:val="ro-RO"/>
              </w:rPr>
            </w:pPr>
            <w:bookmarkStart w:id="20" w:name="_Toc41298485"/>
            <w:r>
              <w:rPr>
                <w:rFonts w:ascii="Trebuchet MS" w:hAnsi="Trebuchet MS"/>
                <w:noProof/>
                <w:color w:val="auto"/>
                <w:spacing w:val="-1"/>
                <w:sz w:val="22"/>
                <w:szCs w:val="22"/>
                <w:lang w:val="ro-RO"/>
              </w:rPr>
              <w:t>Creșterea capitalului uman alcomunității</w:t>
            </w:r>
            <w:bookmarkEnd w:id="20"/>
          </w:p>
        </w:tc>
        <w:tc>
          <w:tcPr>
            <w:tcW w:w="579" w:type="dxa"/>
            <w:tcBorders>
              <w:top w:val="single" w:sz="5" w:space="0" w:color="000000"/>
              <w:left w:val="nil"/>
              <w:bottom w:val="single" w:sz="5" w:space="0" w:color="000000"/>
              <w:right w:val="nil"/>
            </w:tcBorders>
          </w:tcPr>
          <w:p>
            <w:pPr>
              <w:pStyle w:val="TableParagraph"/>
              <w:rPr>
                <w:rFonts w:ascii="Trebuchet MS" w:hAnsi="Trebuchet MS"/>
                <w:noProof/>
                <w:spacing w:val="-1"/>
                <w:lang w:val="ro-RO"/>
              </w:rPr>
            </w:pPr>
          </w:p>
        </w:tc>
        <w:tc>
          <w:tcPr>
            <w:tcW w:w="1037" w:type="dxa"/>
            <w:tcBorders>
              <w:top w:val="single" w:sz="5" w:space="0" w:color="000000"/>
              <w:left w:val="nil"/>
              <w:bottom w:val="single" w:sz="5" w:space="0" w:color="000000"/>
              <w:right w:val="nil"/>
            </w:tcBorders>
          </w:tcPr>
          <w:p>
            <w:pPr>
              <w:pStyle w:val="TableParagraph"/>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hAnsi="Trebuchet MS"/>
                <w:noProof/>
                <w:lang w:val="ro-RO"/>
              </w:rPr>
            </w:pPr>
          </w:p>
        </w:tc>
        <w:tc>
          <w:tcPr>
            <w:tcW w:w="725" w:type="dxa"/>
            <w:tcBorders>
              <w:top w:val="single" w:sz="5" w:space="0" w:color="000000"/>
              <w:left w:val="nil"/>
              <w:bottom w:val="single" w:sz="5" w:space="0" w:color="000000"/>
              <w:right w:val="nil"/>
            </w:tcBorders>
          </w:tcPr>
          <w:p>
            <w:pPr>
              <w:pStyle w:val="TableParagraph"/>
              <w:rPr>
                <w:rFonts w:ascii="Trebuchet MS" w:hAnsi="Trebuchet MS"/>
                <w:noProof/>
                <w:lang w:val="ro-RO"/>
              </w:rPr>
            </w:pP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ratei de participare </w:t>
            </w:r>
            <w:r>
              <w:rPr>
                <w:rFonts w:ascii="Trebuchet MS" w:hAnsi="Trebuchet MS"/>
                <w:noProof/>
                <w:lang w:val="ro-RO"/>
              </w:rPr>
              <w:t xml:space="preserve">la </w:t>
            </w:r>
            <w:r>
              <w:rPr>
                <w:rFonts w:ascii="Trebuchet MS" w:hAnsi="Trebuchet MS"/>
                <w:noProof/>
                <w:spacing w:val="-1"/>
                <w:lang w:val="ro-RO"/>
              </w:rPr>
              <w:t xml:space="preserve">învățământ </w:t>
            </w:r>
            <w:r>
              <w:rPr>
                <w:rFonts w:ascii="Trebuchet MS" w:hAnsi="Trebuchet MS"/>
                <w:noProof/>
                <w:lang w:val="ro-RO"/>
              </w:rPr>
              <w:t xml:space="preserve">a </w:t>
            </w:r>
            <w:r>
              <w:rPr>
                <w:rFonts w:ascii="Trebuchet MS" w:hAnsi="Trebuchet MS"/>
                <w:noProof/>
                <w:spacing w:val="-1"/>
                <w:lang w:val="ro-RO"/>
              </w:rPr>
              <w:t>copiilordin zonă</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&gt;90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 xml:space="preserve">Scăderea ratei </w:t>
            </w:r>
            <w:r>
              <w:rPr>
                <w:rFonts w:ascii="Trebuchet MS" w:hAnsi="Trebuchet MS"/>
                <w:noProof/>
                <w:spacing w:val="-1"/>
                <w:lang w:val="ro-RO"/>
              </w:rPr>
              <w:t xml:space="preserve">abandonului școlar </w:t>
            </w:r>
            <w:r>
              <w:rPr>
                <w:rFonts w:ascii="Trebuchet MS" w:hAnsi="Trebuchet MS"/>
                <w:noProof/>
                <w:lang w:val="ro-RO"/>
              </w:rPr>
              <w:t xml:space="preserve">și a </w:t>
            </w:r>
            <w:r>
              <w:rPr>
                <w:rFonts w:ascii="Trebuchet MS" w:hAnsi="Trebuchet MS"/>
                <w:noProof/>
                <w:spacing w:val="-1"/>
                <w:lang w:val="ro-RO"/>
              </w:rPr>
              <w:t xml:space="preserve">ratei de părăsire timpurie </w:t>
            </w:r>
            <w:r>
              <w:rPr>
                <w:rFonts w:ascii="Trebuchet MS" w:hAnsi="Trebuchet MS"/>
                <w:noProof/>
                <w:lang w:val="ro-RO"/>
              </w:rPr>
              <w:t xml:space="preserve">a </w:t>
            </w:r>
            <w:r>
              <w:rPr>
                <w:rFonts w:ascii="Trebuchet MS" w:hAnsi="Trebuchet MS"/>
                <w:noProof/>
                <w:spacing w:val="-1"/>
                <w:lang w:val="ro-RO"/>
              </w:rPr>
              <w:t xml:space="preserve">școlii </w:t>
            </w:r>
            <w:r>
              <w:rPr>
                <w:rFonts w:ascii="Trebuchet MS" w:hAnsi="Trebuchet MS"/>
                <w:noProof/>
                <w:lang w:val="ro-RO"/>
              </w:rPr>
              <w:t xml:space="preserve">în </w:t>
            </w:r>
            <w:r>
              <w:rPr>
                <w:rFonts w:ascii="Trebuchet MS" w:hAnsi="Trebuchet MS"/>
                <w:noProof/>
                <w:spacing w:val="-1"/>
                <w:lang w:val="ro-RO"/>
              </w:rPr>
              <w:t xml:space="preserve">rândul copiilor </w:t>
            </w:r>
            <w:r>
              <w:rPr>
                <w:rFonts w:ascii="Trebuchet MS" w:hAnsi="Trebuchet MS"/>
                <w:noProof/>
                <w:lang w:val="ro-RO"/>
              </w:rPr>
              <w:t xml:space="preserve">și </w:t>
            </w:r>
            <w:r>
              <w:rPr>
                <w:rFonts w:ascii="Trebuchet MS" w:hAnsi="Trebuchet MS"/>
                <w:noProof/>
                <w:spacing w:val="-1"/>
                <w:lang w:val="ro-RO"/>
              </w:rPr>
              <w:t xml:space="preserve">tinerilor </w:t>
            </w:r>
            <w:r>
              <w:rPr>
                <w:rFonts w:ascii="Trebuchet MS" w:hAnsi="Trebuchet MS"/>
                <w:noProof/>
                <w:lang w:val="ro-RO"/>
              </w:rPr>
              <w:t>din ZUM</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-0.5</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Creșterea nivelului de calificare,</w:t>
            </w:r>
            <w:r>
              <w:rPr>
                <w:rFonts w:ascii="Trebuchet MS" w:hAnsi="Trebuchet MS"/>
                <w:noProof/>
                <w:lang w:val="ro-RO"/>
              </w:rPr>
              <w:t xml:space="preserve">al </w:t>
            </w:r>
            <w:r>
              <w:rPr>
                <w:rFonts w:ascii="Trebuchet MS" w:hAnsi="Trebuchet MS"/>
                <w:noProof/>
                <w:spacing w:val="-1"/>
                <w:lang w:val="ro-RO"/>
              </w:rPr>
              <w:t>deprinderilor</w:t>
            </w:r>
            <w:r>
              <w:rPr>
                <w:rFonts w:ascii="Trebuchet MS" w:hAnsi="Trebuchet MS"/>
                <w:noProof/>
                <w:lang w:val="ro-RO"/>
              </w:rPr>
              <w:t xml:space="preserve">și </w:t>
            </w:r>
            <w:r>
              <w:rPr>
                <w:rFonts w:ascii="Trebuchet MS" w:hAnsi="Trebuchet MS"/>
                <w:noProof/>
                <w:spacing w:val="-1"/>
                <w:lang w:val="ro-RO"/>
              </w:rPr>
              <w:t>abilităților relevante pentru intrarea</w:t>
            </w:r>
            <w:r>
              <w:rPr>
                <w:rFonts w:ascii="Trebuchet MS" w:hAnsi="Trebuchet MS"/>
                <w:noProof/>
                <w:lang w:val="ro-RO"/>
              </w:rPr>
              <w:t xml:space="preserve"> pe</w:t>
            </w:r>
            <w:r>
              <w:rPr>
                <w:rFonts w:ascii="Trebuchet MS" w:hAnsi="Trebuchet MS"/>
                <w:noProof/>
                <w:spacing w:val="-1"/>
                <w:lang w:val="ro-RO"/>
              </w:rPr>
              <w:t xml:space="preserve">piața muncii ale adulților </w:t>
            </w:r>
            <w:r>
              <w:rPr>
                <w:rFonts w:ascii="Trebuchet MS" w:hAnsi="Trebuchet MS"/>
                <w:noProof/>
                <w:lang w:val="ro-RO"/>
              </w:rPr>
              <w:t>din ZUM</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75</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684"/>
        </w:trPr>
        <w:tc>
          <w:tcPr>
            <w:tcW w:w="6732" w:type="dxa"/>
            <w:tcBorders>
              <w:top w:val="single" w:sz="5" w:space="0" w:color="000000"/>
              <w:left w:val="nil"/>
              <w:bottom w:val="single" w:sz="5" w:space="0" w:color="000000"/>
              <w:right w:val="nil"/>
            </w:tcBorders>
          </w:tcPr>
          <w:p>
            <w:pPr>
              <w:pStyle w:val="TableParagraph"/>
              <w:tabs>
                <w:tab w:val="left" w:pos="1254"/>
                <w:tab w:val="left" w:pos="2906"/>
                <w:tab w:val="left" w:pos="3573"/>
                <w:tab w:val="left" w:pos="4194"/>
                <w:tab w:val="left" w:pos="5496"/>
                <w:tab w:val="left" w:pos="5944"/>
              </w:tabs>
              <w:rPr>
                <w:rFonts w:ascii="Trebuchet MS" w:eastAsia="Calibri" w:hAnsi="Trebuchet MS" w:cs="Calibri"/>
                <w:noProof/>
                <w:lang w:val="ro-RO"/>
              </w:rPr>
            </w:pPr>
            <w:r>
              <w:rPr>
                <w:rFonts w:ascii="Trebuchet MS" w:hAnsi="Trebuchet MS"/>
                <w:noProof/>
                <w:spacing w:val="-1"/>
                <w:lang w:val="ro-RO"/>
              </w:rPr>
              <w:t>Creșterea numărului</w:t>
            </w:r>
            <w:r>
              <w:rPr>
                <w:rFonts w:ascii="Trebuchet MS" w:hAnsi="Trebuchet MS"/>
                <w:noProof/>
                <w:lang w:val="ro-RO"/>
              </w:rPr>
              <w:t xml:space="preserve">de copii </w:t>
            </w:r>
            <w:r>
              <w:rPr>
                <w:rFonts w:ascii="Trebuchet MS" w:hAnsi="Trebuchet MS"/>
                <w:noProof/>
                <w:spacing w:val="-1"/>
                <w:lang w:val="ro-RO"/>
              </w:rPr>
              <w:t xml:space="preserve">care beneficiază </w:t>
            </w:r>
            <w:r>
              <w:rPr>
                <w:rFonts w:ascii="Trebuchet MS" w:hAnsi="Trebuchet MS"/>
                <w:noProof/>
                <w:lang w:val="ro-RO"/>
              </w:rPr>
              <w:t xml:space="preserve">de </w:t>
            </w:r>
            <w:r>
              <w:rPr>
                <w:rFonts w:ascii="Trebuchet MS" w:hAnsi="Trebuchet MS"/>
                <w:noProof/>
                <w:spacing w:val="-1"/>
                <w:lang w:val="ro-RO"/>
              </w:rPr>
              <w:t xml:space="preserve">servicii specializate </w:t>
            </w:r>
            <w:r>
              <w:rPr>
                <w:rFonts w:ascii="Trebuchet MS" w:hAnsi="Trebuchet MS"/>
                <w:noProof/>
                <w:lang w:val="ro-RO"/>
              </w:rPr>
              <w:t xml:space="preserve">și de </w:t>
            </w:r>
            <w:r>
              <w:rPr>
                <w:rFonts w:ascii="Trebuchet MS" w:hAnsi="Trebuchet MS"/>
                <w:noProof/>
                <w:spacing w:val="-1"/>
                <w:lang w:val="ro-RO"/>
              </w:rPr>
              <w:t>beneficii</w:t>
            </w:r>
            <w:r>
              <w:rPr>
                <w:rFonts w:ascii="Trebuchet MS" w:hAnsi="Trebuchet MS"/>
                <w:noProof/>
                <w:lang w:val="ro-RO"/>
              </w:rPr>
              <w:t xml:space="preserve"> sociale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346"/>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Scăderea</w:t>
            </w:r>
            <w:r>
              <w:rPr>
                <w:rFonts w:ascii="Trebuchet MS" w:hAnsi="Trebuchet MS"/>
                <w:noProof/>
                <w:spacing w:val="-1"/>
                <w:lang w:val="ro-RO"/>
              </w:rPr>
              <w:t xml:space="preserve"> numărului </w:t>
            </w:r>
            <w:r>
              <w:rPr>
                <w:rFonts w:ascii="Trebuchet MS" w:hAnsi="Trebuchet MS"/>
                <w:noProof/>
                <w:lang w:val="ro-RO"/>
              </w:rPr>
              <w:t xml:space="preserve">de </w:t>
            </w:r>
            <w:r>
              <w:rPr>
                <w:rFonts w:ascii="Trebuchet MS" w:hAnsi="Trebuchet MS"/>
                <w:noProof/>
                <w:spacing w:val="-1"/>
                <w:lang w:val="ro-RO"/>
              </w:rPr>
              <w:t xml:space="preserve">copii aflați </w:t>
            </w:r>
            <w:r>
              <w:rPr>
                <w:rFonts w:ascii="Trebuchet MS" w:hAnsi="Trebuchet MS"/>
                <w:noProof/>
                <w:lang w:val="ro-RO"/>
              </w:rPr>
              <w:t>în</w:t>
            </w:r>
            <w:r>
              <w:rPr>
                <w:rFonts w:ascii="Trebuchet MS" w:hAnsi="Trebuchet MS"/>
                <w:noProof/>
                <w:spacing w:val="-1"/>
                <w:lang w:val="ro-RO"/>
              </w:rPr>
              <w:t xml:space="preserve"> situații </w:t>
            </w:r>
            <w:r>
              <w:rPr>
                <w:rFonts w:ascii="Trebuchet MS" w:hAnsi="Trebuchet MS"/>
                <w:noProof/>
                <w:lang w:val="ro-RO"/>
              </w:rPr>
              <w:t xml:space="preserve">de </w:t>
            </w:r>
            <w:r>
              <w:rPr>
                <w:rFonts w:ascii="Trebuchet MS" w:hAnsi="Trebuchet MS"/>
                <w:noProof/>
                <w:spacing w:val="-1"/>
                <w:lang w:val="ro-RO"/>
              </w:rPr>
              <w:t>vulnerabilitate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25</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b/>
                <w:noProof/>
                <w:spacing w:val="-1"/>
                <w:lang w:val="ro-RO"/>
              </w:rPr>
              <w:t>Creșterea capitalului material/economic al comunității</w:t>
            </w:r>
          </w:p>
        </w:tc>
        <w:tc>
          <w:tcPr>
            <w:tcW w:w="579"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1037"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r>
      <w:tr>
        <w:trPr>
          <w:trHeight w:hRule="exact" w:val="685"/>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ocupării </w:t>
            </w:r>
            <w:r>
              <w:rPr>
                <w:rFonts w:ascii="Trebuchet MS" w:hAnsi="Trebuchet MS"/>
                <w:noProof/>
                <w:lang w:val="ro-RO"/>
              </w:rPr>
              <w:t xml:space="preserve">în  </w:t>
            </w:r>
            <w:r>
              <w:rPr>
                <w:rFonts w:ascii="Trebuchet MS" w:hAnsi="Trebuchet MS"/>
                <w:noProof/>
                <w:spacing w:val="-1"/>
                <w:lang w:val="ro-RO"/>
              </w:rPr>
              <w:t xml:space="preserve">sectorul formal </w:t>
            </w:r>
            <w:r>
              <w:rPr>
                <w:rFonts w:ascii="Trebuchet MS" w:hAnsi="Trebuchet MS"/>
                <w:noProof/>
                <w:lang w:val="ro-RO"/>
              </w:rPr>
              <w:t xml:space="preserve">în  </w:t>
            </w:r>
            <w:r>
              <w:rPr>
                <w:rFonts w:ascii="Trebuchet MS" w:hAnsi="Trebuchet MS"/>
                <w:noProof/>
                <w:spacing w:val="-1"/>
                <w:lang w:val="ro-RO"/>
              </w:rPr>
              <w:t>rândul persoanelor</w:t>
            </w:r>
            <w:r>
              <w:rPr>
                <w:rFonts w:ascii="Trebuchet MS" w:hAnsi="Trebuchet MS"/>
                <w:noProof/>
                <w:lang w:val="ro-RO"/>
              </w:rPr>
              <w:t xml:space="preserve">  din </w:t>
            </w:r>
            <w:r>
              <w:rPr>
                <w:rFonts w:ascii="Trebuchet MS" w:hAnsi="Trebuchet MS"/>
                <w:noProof/>
                <w:spacing w:val="-1"/>
                <w:lang w:val="ro-RO"/>
              </w:rPr>
              <w:t>ZUM,din care femei,tineri,</w:t>
            </w:r>
            <w:r>
              <w:rPr>
                <w:rFonts w:ascii="Trebuchet MS" w:hAnsi="Trebuchet MS"/>
                <w:noProof/>
                <w:lang w:val="ro-RO"/>
              </w:rPr>
              <w:t>romi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participării </w:t>
            </w:r>
            <w:r>
              <w:rPr>
                <w:rFonts w:ascii="Trebuchet MS" w:hAnsi="Trebuchet MS"/>
                <w:noProof/>
                <w:lang w:val="ro-RO"/>
              </w:rPr>
              <w:t xml:space="preserve">la </w:t>
            </w:r>
            <w:r>
              <w:rPr>
                <w:rFonts w:ascii="Trebuchet MS" w:hAnsi="Trebuchet MS"/>
                <w:noProof/>
                <w:spacing w:val="-1"/>
                <w:lang w:val="ro-RO"/>
              </w:rPr>
              <w:t xml:space="preserve">scheme speciale </w:t>
            </w:r>
            <w:r>
              <w:rPr>
                <w:rFonts w:ascii="Trebuchet MS" w:hAnsi="Trebuchet MS"/>
                <w:noProof/>
                <w:lang w:val="ro-RO"/>
              </w:rPr>
              <w:t xml:space="preserve">de </w:t>
            </w:r>
            <w:r>
              <w:rPr>
                <w:rFonts w:ascii="Trebuchet MS" w:hAnsi="Trebuchet MS"/>
                <w:noProof/>
                <w:spacing w:val="-1"/>
                <w:lang w:val="ro-RO"/>
              </w:rPr>
              <w:t xml:space="preserve">servicii </w:t>
            </w:r>
            <w:r>
              <w:rPr>
                <w:rFonts w:ascii="Trebuchet MS" w:hAnsi="Trebuchet MS"/>
                <w:noProof/>
                <w:lang w:val="ro-RO"/>
              </w:rPr>
              <w:t xml:space="preserve">active de </w:t>
            </w:r>
            <w:r>
              <w:rPr>
                <w:rFonts w:ascii="Trebuchet MS" w:hAnsi="Trebuchet MS"/>
                <w:noProof/>
                <w:spacing w:val="-1"/>
                <w:lang w:val="ro-RO"/>
              </w:rPr>
              <w:t>ocupare individualizate,</w:t>
            </w:r>
            <w:r>
              <w:rPr>
                <w:rFonts w:ascii="Trebuchet MS" w:hAnsi="Trebuchet MS"/>
                <w:noProof/>
                <w:lang w:val="ro-RO"/>
              </w:rPr>
              <w:t xml:space="preserve">din </w:t>
            </w:r>
            <w:r>
              <w:rPr>
                <w:rFonts w:ascii="Trebuchet MS" w:hAnsi="Trebuchet MS"/>
                <w:noProof/>
                <w:spacing w:val="-1"/>
                <w:lang w:val="ro-RO"/>
              </w:rPr>
              <w:t>care femei,tineri,</w:t>
            </w:r>
            <w:r>
              <w:rPr>
                <w:rFonts w:ascii="Trebuchet MS" w:hAnsi="Trebuchet MS"/>
                <w:noProof/>
                <w:spacing w:val="-2"/>
                <w:lang w:val="ro-RO"/>
              </w:rPr>
              <w:t>romi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346"/>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accesului </w:t>
            </w:r>
            <w:r>
              <w:rPr>
                <w:rFonts w:ascii="Trebuchet MS" w:hAnsi="Trebuchet MS"/>
                <w:noProof/>
                <w:lang w:val="ro-RO"/>
              </w:rPr>
              <w:t xml:space="preserve">la </w:t>
            </w:r>
            <w:r>
              <w:rPr>
                <w:rFonts w:ascii="Trebuchet MS" w:hAnsi="Trebuchet MS"/>
                <w:noProof/>
                <w:spacing w:val="-1"/>
                <w:lang w:val="ro-RO"/>
              </w:rPr>
              <w:t>drumuri pavate/ asfaltate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80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satisfacției rezidenților cu accesul </w:t>
            </w:r>
            <w:r>
              <w:rPr>
                <w:rFonts w:ascii="Trebuchet MS" w:hAnsi="Trebuchet MS"/>
                <w:noProof/>
                <w:lang w:val="ro-RO"/>
              </w:rPr>
              <w:t xml:space="preserve">la infrastructură </w:t>
            </w:r>
            <w:r>
              <w:rPr>
                <w:rFonts w:ascii="Trebuchet MS" w:hAnsi="Trebuchet MS"/>
                <w:noProof/>
                <w:spacing w:val="-2"/>
                <w:lang w:val="ro-RO"/>
              </w:rPr>
              <w:t xml:space="preserve">și </w:t>
            </w:r>
            <w:r>
              <w:rPr>
                <w:rFonts w:ascii="Trebuchet MS" w:hAnsi="Trebuchet MS"/>
                <w:noProof/>
                <w:spacing w:val="-1"/>
                <w:lang w:val="ro-RO"/>
              </w:rPr>
              <w:t xml:space="preserve">curățenia </w:t>
            </w:r>
            <w:r>
              <w:rPr>
                <w:rFonts w:ascii="Trebuchet MS" w:hAnsi="Trebuchet MS"/>
                <w:noProof/>
                <w:lang w:val="ro-RO"/>
              </w:rPr>
              <w:t>zonei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80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Îmbunătățirea condițiilor </w:t>
            </w:r>
            <w:r>
              <w:rPr>
                <w:rFonts w:ascii="Trebuchet MS" w:hAnsi="Trebuchet MS"/>
                <w:noProof/>
                <w:lang w:val="ro-RO"/>
              </w:rPr>
              <w:t>de locuire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80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w:t>
            </w:r>
          </w:p>
        </w:tc>
      </w:tr>
      <w:tr>
        <w:trPr>
          <w:trHeight w:hRule="exact" w:val="346"/>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b/>
                <w:noProof/>
                <w:spacing w:val="-1"/>
                <w:lang w:val="ro-RO"/>
              </w:rPr>
              <w:t>Creșterea capitalului socialal comunității</w:t>
            </w:r>
          </w:p>
        </w:tc>
        <w:tc>
          <w:tcPr>
            <w:tcW w:w="579"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1037"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r>
      <w:tr>
        <w:trPr>
          <w:trHeight w:hRule="exact" w:val="1020"/>
        </w:trPr>
        <w:tc>
          <w:tcPr>
            <w:tcW w:w="6732" w:type="dxa"/>
            <w:tcBorders>
              <w:top w:val="single" w:sz="5" w:space="0" w:color="000000"/>
              <w:left w:val="nil"/>
              <w:bottom w:val="single" w:sz="5" w:space="0" w:color="000000"/>
              <w:right w:val="nil"/>
            </w:tcBorders>
          </w:tcPr>
          <w:p>
            <w:pPr>
              <w:pStyle w:val="TableParagraph"/>
              <w:jc w:val="both"/>
              <w:rPr>
                <w:rFonts w:ascii="Trebuchet MS" w:eastAsia="Calibri" w:hAnsi="Trebuchet MS" w:cs="Calibri"/>
                <w:noProof/>
                <w:lang w:val="ro-RO"/>
              </w:rPr>
            </w:pPr>
            <w:r>
              <w:rPr>
                <w:rFonts w:ascii="Trebuchet MS" w:hAnsi="Trebuchet MS"/>
                <w:noProof/>
                <w:spacing w:val="-1"/>
                <w:lang w:val="ro-RO"/>
              </w:rPr>
              <w:t xml:space="preserve">Creșterea satisfacției privind relațiile </w:t>
            </w:r>
            <w:r>
              <w:rPr>
                <w:rFonts w:ascii="Trebuchet MS" w:hAnsi="Trebuchet MS"/>
                <w:noProof/>
                <w:lang w:val="ro-RO"/>
              </w:rPr>
              <w:t xml:space="preserve">în cadrul </w:t>
            </w:r>
            <w:r>
              <w:rPr>
                <w:rFonts w:ascii="Trebuchet MS" w:hAnsi="Trebuchet MS"/>
                <w:noProof/>
                <w:spacing w:val="-1"/>
                <w:lang w:val="ro-RO"/>
              </w:rPr>
              <w:t xml:space="preserve">comunității </w:t>
            </w:r>
            <w:r>
              <w:rPr>
                <w:rFonts w:ascii="Trebuchet MS" w:hAnsi="Trebuchet MS"/>
                <w:noProof/>
                <w:lang w:val="ro-RO"/>
              </w:rPr>
              <w:t xml:space="preserve">și a </w:t>
            </w:r>
            <w:r>
              <w:rPr>
                <w:rFonts w:ascii="Trebuchet MS" w:hAnsi="Trebuchet MS"/>
                <w:noProof/>
                <w:spacing w:val="-1"/>
                <w:lang w:val="ro-RO"/>
              </w:rPr>
              <w:t xml:space="preserve">nivelului </w:t>
            </w:r>
            <w:r>
              <w:rPr>
                <w:rFonts w:ascii="Trebuchet MS" w:hAnsi="Trebuchet MS"/>
                <w:noProof/>
                <w:lang w:val="ro-RO"/>
              </w:rPr>
              <w:t xml:space="preserve">de </w:t>
            </w:r>
            <w:r>
              <w:rPr>
                <w:rFonts w:ascii="Trebuchet MS" w:hAnsi="Trebuchet MS"/>
                <w:noProof/>
                <w:spacing w:val="-1"/>
                <w:lang w:val="ro-RO"/>
              </w:rPr>
              <w:t xml:space="preserve">încredere </w:t>
            </w:r>
            <w:r>
              <w:rPr>
                <w:rFonts w:ascii="Trebuchet MS" w:hAnsi="Trebuchet MS"/>
                <w:noProof/>
                <w:lang w:val="ro-RO"/>
              </w:rPr>
              <w:t xml:space="preserve">în alte </w:t>
            </w:r>
            <w:r>
              <w:rPr>
                <w:rFonts w:ascii="Trebuchet MS" w:hAnsi="Trebuchet MS"/>
                <w:noProof/>
                <w:spacing w:val="-1"/>
                <w:lang w:val="ro-RO"/>
              </w:rPr>
              <w:t>persoane,</w:t>
            </w:r>
            <w:r>
              <w:rPr>
                <w:rFonts w:ascii="Trebuchet MS" w:hAnsi="Trebuchet MS"/>
                <w:noProof/>
                <w:spacing w:val="1"/>
                <w:lang w:val="ro-RO"/>
              </w:rPr>
              <w:t xml:space="preserve">în </w:t>
            </w:r>
            <w:r>
              <w:rPr>
                <w:rFonts w:ascii="Trebuchet MS" w:hAnsi="Trebuchet MS"/>
                <w:noProof/>
                <w:spacing w:val="-1"/>
                <w:lang w:val="ro-RO"/>
              </w:rPr>
              <w:t xml:space="preserve">ceilalți membri </w:t>
            </w:r>
            <w:r>
              <w:rPr>
                <w:rFonts w:ascii="Trebuchet MS" w:hAnsi="Trebuchet MS"/>
                <w:noProof/>
                <w:lang w:val="ro-RO"/>
              </w:rPr>
              <w:t xml:space="preserve">ai </w:t>
            </w:r>
            <w:r>
              <w:rPr>
                <w:rFonts w:ascii="Trebuchet MS" w:hAnsi="Trebuchet MS"/>
                <w:noProof/>
                <w:spacing w:val="-1"/>
                <w:lang w:val="ro-RO"/>
              </w:rPr>
              <w:t>comunității,precum</w:t>
            </w:r>
            <w:r>
              <w:rPr>
                <w:rFonts w:ascii="Trebuchet MS" w:hAnsi="Trebuchet MS"/>
                <w:noProof/>
                <w:lang w:val="ro-RO"/>
              </w:rPr>
              <w:t xml:space="preserve"> și în</w:t>
            </w:r>
            <w:r>
              <w:rPr>
                <w:rFonts w:ascii="Trebuchet MS" w:hAnsi="Trebuchet MS"/>
                <w:noProof/>
                <w:spacing w:val="-1"/>
                <w:lang w:val="ro-RO"/>
              </w:rPr>
              <w:t xml:space="preserve"> instituții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b/>
                <w:noProof/>
                <w:spacing w:val="-1"/>
                <w:lang w:val="ro-RO"/>
              </w:rPr>
              <w:t>Creșterea capitalului simbolic al comunității</w:t>
            </w:r>
          </w:p>
        </w:tc>
        <w:tc>
          <w:tcPr>
            <w:tcW w:w="579"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1037"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Recunoașterea hărții zonei </w:t>
            </w:r>
            <w:r>
              <w:rPr>
                <w:rFonts w:ascii="Trebuchet MS" w:hAnsi="Trebuchet MS"/>
                <w:noProof/>
                <w:lang w:val="ro-RO"/>
              </w:rPr>
              <w:t xml:space="preserve">și </w:t>
            </w:r>
            <w:r>
              <w:rPr>
                <w:rFonts w:ascii="Trebuchet MS" w:hAnsi="Trebuchet MS"/>
                <w:noProof/>
                <w:spacing w:val="-1"/>
                <w:lang w:val="ro-RO"/>
              </w:rPr>
              <w:t xml:space="preserve">includerea zonei </w:t>
            </w:r>
            <w:r>
              <w:rPr>
                <w:rFonts w:ascii="Trebuchet MS" w:hAnsi="Trebuchet MS"/>
                <w:noProof/>
                <w:lang w:val="ro-RO"/>
              </w:rPr>
              <w:t xml:space="preserve">în procesul de </w:t>
            </w:r>
            <w:r>
              <w:rPr>
                <w:rFonts w:ascii="Trebuchet MS" w:hAnsi="Trebuchet MS"/>
                <w:noProof/>
                <w:spacing w:val="-1"/>
                <w:lang w:val="ro-RO"/>
              </w:rPr>
              <w:t>planificare urbană</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nr</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satisfacției locuitorilor municipiului,rezidenți </w:t>
            </w:r>
            <w:r>
              <w:rPr>
                <w:rFonts w:ascii="Trebuchet MS" w:hAnsi="Trebuchet MS"/>
                <w:noProof/>
                <w:lang w:val="ro-RO"/>
              </w:rPr>
              <w:t xml:space="preserve">în </w:t>
            </w:r>
            <w:r>
              <w:rPr>
                <w:rFonts w:ascii="Trebuchet MS" w:hAnsi="Trebuchet MS"/>
                <w:noProof/>
                <w:spacing w:val="-1"/>
                <w:lang w:val="ro-RO"/>
              </w:rPr>
              <w:t xml:space="preserve">cartiere cu vedere </w:t>
            </w:r>
            <w:r>
              <w:rPr>
                <w:rFonts w:ascii="Trebuchet MS" w:hAnsi="Trebuchet MS"/>
                <w:noProof/>
                <w:lang w:val="ro-RO"/>
              </w:rPr>
              <w:t xml:space="preserve">directă la </w:t>
            </w:r>
            <w:r>
              <w:rPr>
                <w:rFonts w:ascii="Trebuchet MS" w:hAnsi="Trebuchet MS"/>
                <w:noProof/>
                <w:spacing w:val="-1"/>
                <w:lang w:val="ro-RO"/>
              </w:rPr>
              <w:t>ZUM cu aspectul general</w:t>
            </w:r>
            <w:r>
              <w:rPr>
                <w:rFonts w:ascii="Trebuchet MS" w:hAnsi="Trebuchet MS"/>
                <w:noProof/>
                <w:lang w:val="ro-RO"/>
              </w:rPr>
              <w:t xml:space="preserve"> al </w:t>
            </w:r>
            <w:r>
              <w:rPr>
                <w:rFonts w:ascii="Trebuchet MS" w:hAnsi="Trebuchet MS"/>
                <w:noProof/>
                <w:spacing w:val="-1"/>
                <w:lang w:val="ro-RO"/>
              </w:rPr>
              <w:t>zonei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70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lastRenderedPageBreak/>
              <w:t xml:space="preserve">Îmbunătățirea imaginii zonei </w:t>
            </w:r>
            <w:r>
              <w:rPr>
                <w:rFonts w:ascii="Trebuchet MS" w:hAnsi="Trebuchet MS"/>
                <w:noProof/>
                <w:spacing w:val="-2"/>
                <w:lang w:val="ro-RO"/>
              </w:rPr>
              <w:t xml:space="preserve">la </w:t>
            </w:r>
            <w:r>
              <w:rPr>
                <w:rFonts w:ascii="Trebuchet MS" w:hAnsi="Trebuchet MS"/>
                <w:noProof/>
                <w:spacing w:val="-1"/>
                <w:lang w:val="ro-RO"/>
              </w:rPr>
              <w:t>nivelul locuitorilor municipiului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bl>
    <w:p>
      <w:pPr>
        <w:spacing w:after="0" w:line="240" w:lineRule="auto"/>
        <w:rPr>
          <w:rFonts w:ascii="Trebuchet MS" w:hAnsi="Trebuchet MS"/>
        </w:rPr>
      </w:pPr>
    </w:p>
    <w:p>
      <w:pPr>
        <w:spacing w:line="240" w:lineRule="auto"/>
        <w:jc w:val="both"/>
        <w:rPr>
          <w:rFonts w:ascii="Trebuchet MS" w:eastAsia="SimSun" w:hAnsi="Trebuchet MS"/>
          <w:lang w:val="ro-RO"/>
        </w:rPr>
      </w:pPr>
      <w:r>
        <w:rPr>
          <w:rFonts w:ascii="Trebuchet MS" w:hAnsi="Trebuchet MS"/>
          <w:b/>
          <w:i/>
          <w:iCs/>
          <w:lang w:val="ro-RO"/>
        </w:rPr>
        <w:t>NUMARUL APELULUI DE FISE DE PROIECTE: POR/GAL BOTOSANI PENTRU VIITOR/2020/9/3/OS9.1</w:t>
      </w:r>
    </w:p>
    <w:p>
      <w:pPr>
        <w:spacing w:after="120" w:line="240" w:lineRule="auto"/>
        <w:jc w:val="both"/>
        <w:rPr>
          <w:rFonts w:ascii="Trebuchet MS" w:hAnsi="Trebuchet MS" w:cs="Calibri"/>
          <w:bCs/>
        </w:rPr>
      </w:pPr>
      <w:r>
        <w:rPr>
          <w:rFonts w:ascii="Trebuchet MS" w:hAnsi="Trebuchet MS" w:cs="Calibri"/>
          <w:bCs/>
          <w:lang w:val="ro-RO"/>
        </w:rPr>
        <w:t>În conformitate cu prevederile documentului ORIENTĂRILE PENTRU GRUPURILE DE ACȚIUNE LOCALĂ PRIVIND IMPLEMENTAREA STRATEGIILOR DE DEZVOLTARE LOCALĂ LA NIVELUL ORAȘELOR CU PESTE 20.000 LOCUITORI  Etapa a III-a mecanismului DLRC, precum și</w:t>
      </w:r>
      <w:r>
        <w:rPr>
          <w:rFonts w:ascii="Trebuchet MS" w:hAnsi="Trebuchet MS" w:cs="Calibri"/>
          <w:bCs/>
        </w:rPr>
        <w:t xml:space="preserve"> cu PROCEDURA DE EVALUARE ȘI SELECȚIE A FIȘELOR DE PROIECTE avizată de CCS Restrâns, GAL BOTOSANI PENTRU VIITOR va lansa apeluri de tip </w:t>
      </w:r>
      <w:r>
        <w:rPr>
          <w:rFonts w:ascii="Trebuchet MS" w:hAnsi="Trebuchet MS" w:cs="Calibri"/>
          <w:b/>
          <w:bCs/>
        </w:rPr>
        <w:t>competitiv</w:t>
      </w:r>
      <w:r>
        <w:rPr>
          <w:rFonts w:ascii="Trebuchet MS" w:hAnsi="Trebuchet MS" w:cs="Calibri"/>
          <w:bCs/>
        </w:rPr>
        <w:t xml:space="preserve">. </w:t>
      </w:r>
    </w:p>
    <w:p>
      <w:pPr>
        <w:spacing w:after="120" w:line="240" w:lineRule="auto"/>
        <w:jc w:val="both"/>
        <w:rPr>
          <w:rFonts w:ascii="Trebuchet MS" w:hAnsi="Trebuchet MS" w:cs="Calibri"/>
          <w:bCs/>
        </w:rPr>
      </w:pPr>
      <w:r>
        <w:rPr>
          <w:rFonts w:ascii="Trebuchet MS" w:hAnsi="Trebuchet MS" w:cs="Calibri"/>
          <w:bCs/>
          <w:lang w:val="ro-RO"/>
        </w:rPr>
        <w:t>Selecția fișelor de proiecte se va face în baza punctajului obținut, în limita bugetului aprobat.</w:t>
      </w:r>
    </w:p>
    <w:p>
      <w:pPr>
        <w:spacing w:after="120" w:line="240" w:lineRule="auto"/>
        <w:jc w:val="both"/>
        <w:rPr>
          <w:rFonts w:ascii="Trebuchet MS" w:hAnsi="Trebuchet MS" w:cs="Calibri"/>
          <w:bCs/>
          <w:lang w:val="ro-RO"/>
        </w:rPr>
      </w:pPr>
      <w:r>
        <w:rPr>
          <w:rFonts w:ascii="Trebuchet MS" w:hAnsi="Trebuchet MS" w:cs="Calibri"/>
          <w:bCs/>
          <w:lang w:val="ro-RO"/>
        </w:rPr>
        <w:t xml:space="preserve">Fișele de proiect sunt selectate de </w:t>
      </w:r>
      <w:r>
        <w:rPr>
          <w:rFonts w:ascii="Trebuchet MS" w:hAnsi="Trebuchet MS" w:cs="Calibri"/>
          <w:iCs/>
          <w:lang w:val="ro-RO"/>
        </w:rPr>
        <w:t xml:space="preserve">GAL BOTOSANI PENTRU VIITOR </w:t>
      </w:r>
      <w:r>
        <w:rPr>
          <w:rFonts w:ascii="Trebuchet MS" w:hAnsi="Trebuchet MS" w:cs="Calibri"/>
          <w:bCs/>
          <w:lang w:val="ro-RO"/>
        </w:rPr>
        <w:t xml:space="preserve">printr-o procedură transparentă și echitabilă, cu respectarea prevederilor documentului ORIENTĂRILE PENTRU GRUPURILE DE ACȚIUNE LOCALĂ PRIVIND IMPLEMENTAREA STRATEGIILOR DE DEZVOLTARE LOCALĂ LA NIVELUL ORAȘELOR CU PESTE 20.000 LOCUITORI  Etapa a III-a mecanismului DLRC, în conformitate cu </w:t>
      </w:r>
      <w:r>
        <w:rPr>
          <w:rFonts w:ascii="Trebuchet MS" w:hAnsi="Trebuchet MS" w:cs="Calibri"/>
          <w:bCs/>
        </w:rPr>
        <w:t>PROCEDURA DE EVALUARE ȘI SELECȚIE A FIȘELOR DE PROIECTE avizată de CCS Restrâns.</w:t>
      </w:r>
    </w:p>
    <w:p>
      <w:pPr>
        <w:spacing w:after="120" w:line="240" w:lineRule="auto"/>
        <w:jc w:val="both"/>
        <w:rPr>
          <w:rFonts w:ascii="Trebuchet MS" w:hAnsi="Trebuchet MS" w:cs="Calibri"/>
          <w:bCs/>
          <w:lang w:val="ro-RO"/>
        </w:rPr>
      </w:pPr>
      <w:r>
        <w:rPr>
          <w:rFonts w:ascii="Trebuchet MS" w:hAnsi="Trebuchet MS" w:cs="Calibri"/>
          <w:b/>
          <w:bCs/>
          <w:lang w:val="ro-RO"/>
        </w:rPr>
        <w:t xml:space="preserve">Atentie! </w:t>
      </w:r>
      <w:r>
        <w:rPr>
          <w:rFonts w:ascii="Trebuchet MS" w:hAnsi="Trebuchet MS" w:cs="Calibri"/>
          <w:bCs/>
          <w:lang w:val="ro-RO"/>
        </w:rPr>
        <w:t xml:space="preserve">: În ceea ce privește fișele de proiecte de infrastructură, acestea vor fi selectate de către </w:t>
      </w:r>
      <w:r>
        <w:rPr>
          <w:rFonts w:ascii="Trebuchet MS" w:hAnsi="Trebuchet MS" w:cs="Calibri"/>
          <w:iCs/>
          <w:lang w:val="ro-RO"/>
        </w:rPr>
        <w:t xml:space="preserve">GAL BOTOSANI PENTRU VIITOR </w:t>
      </w:r>
      <w:r>
        <w:rPr>
          <w:rFonts w:ascii="Trebuchet MS" w:hAnsi="Trebuchet MS" w:cs="Calibri"/>
          <w:bCs/>
          <w:lang w:val="ro-RO"/>
        </w:rPr>
        <w:t xml:space="preserve">, în cadrul apelurilor specifice, fișele de proiecte căștigătoare fiind ulterior dezvoltate în proiecte mature ce vor fi depuse în cadrul apelului național de proiecte lansate de AMPOR prin MYSMIS pentru AXA PRIORITARĂ 9: </w:t>
      </w:r>
      <w:r>
        <w:rPr>
          <w:rFonts w:ascii="Trebuchet MS" w:hAnsi="Trebuchet MS" w:cs="Calibri"/>
          <w:bCs/>
          <w:i/>
          <w:lang w:val="ro-RO"/>
        </w:rPr>
        <w:t>Sprijinirea regenerării economice și sociale a comunităților defavorizate din mediul urban, Priopritatea de investitii</w:t>
      </w:r>
      <w:r>
        <w:rPr>
          <w:rFonts w:ascii="Trebuchet MS" w:hAnsi="Trebuchet MS" w:cs="Calibri"/>
          <w:bCs/>
          <w:lang w:val="ro-RO"/>
        </w:rPr>
        <w:t xml:space="preserve"> 9.1 – DLRC conform ghidului publicat de AMPOR, respectiv apelul de proiecte pentru regiuni mai puțin dezvoltate cu nr. POR/2019/9/9.1/1/7REGIUNI.</w:t>
      </w:r>
    </w:p>
    <w:p>
      <w:pPr>
        <w:spacing w:after="120" w:line="240" w:lineRule="auto"/>
        <w:jc w:val="both"/>
        <w:rPr>
          <w:rFonts w:ascii="Trebuchet MS" w:hAnsi="Trebuchet MS" w:cs="Calibri"/>
          <w:b/>
          <w:bCs/>
          <w:lang w:val="ro-RO"/>
        </w:rPr>
      </w:pPr>
      <w:r>
        <w:rPr>
          <w:rFonts w:ascii="Trebuchet MS" w:hAnsi="Trebuchet MS" w:cs="Calibri"/>
          <w:b/>
          <w:bCs/>
          <w:lang w:val="ro-RO"/>
        </w:rPr>
        <w:t xml:space="preserve">Lista cu fișe de proiecte selectate de </w:t>
      </w:r>
      <w:r>
        <w:rPr>
          <w:rFonts w:ascii="Trebuchet MS" w:hAnsi="Trebuchet MS" w:cs="Calibri"/>
          <w:b/>
          <w:iCs/>
          <w:lang w:val="ro-RO"/>
        </w:rPr>
        <w:t xml:space="preserve">GAL BOTOSANI PENTRU VIITOR </w:t>
      </w:r>
      <w:r>
        <w:rPr>
          <w:rFonts w:ascii="Trebuchet MS" w:hAnsi="Trebuchet MS" w:cs="Calibri"/>
          <w:b/>
          <w:bCs/>
          <w:lang w:val="ro-RO"/>
        </w:rPr>
        <w:t>trebuie să îndeplinească următoarele condiții:</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-să se încadreze în bugetul alocat proiectelor FEDR, conform bugetului Strategiei de Dezvoltare Locala.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valoarea FEDR a proiectelor pentru utilități publice și infrastructură rutieră (străzi urbane) nu poate depăși 30% din valoarea totală FEDR a pachetului integrat de proiecte aferent unei SDL.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intervențiile POR vor viza cel puțin două din tipurile de acțiuni finanțabile prin POR 2014-2020 (de exemplu, un proiect in infrastructura de locuire și un proiect de reabilitare/modernizare a unui centru comunitar integrat medico-social).</w:t>
      </w:r>
    </w:p>
    <w:p>
      <w:pPr>
        <w:autoSpaceDE w:val="0"/>
        <w:autoSpaceDN w:val="0"/>
        <w:adjustRightInd w:val="0"/>
        <w:spacing w:after="0" w:line="240" w:lineRule="auto"/>
        <w:jc w:val="both"/>
        <w:rPr>
          <w:rFonts w:ascii="Trebuchet MS" w:eastAsiaTheme="minorHAnsi" w:hAnsi="Trebuchet MS" w:cs="Trebuchet MS"/>
          <w:color w:val="000000"/>
          <w:lang w:val="ro-RO"/>
        </w:rPr>
      </w:pPr>
    </w:p>
    <w:p>
      <w:pPr>
        <w:pStyle w:val="Heading2"/>
        <w:spacing w:before="0" w:line="240" w:lineRule="auto"/>
        <w:jc w:val="both"/>
        <w:rPr>
          <w:rFonts w:ascii="Trebuchet MS" w:hAnsi="Trebuchet MS"/>
          <w:i/>
          <w:noProof/>
          <w:color w:val="auto"/>
        </w:rPr>
      </w:pPr>
      <w:bookmarkStart w:id="21" w:name="_Toc41298486"/>
      <w:r>
        <w:rPr>
          <w:rFonts w:ascii="Trebuchet MS" w:hAnsi="Trebuchet MS"/>
          <w:i/>
          <w:noProof/>
          <w:color w:val="auto"/>
        </w:rPr>
        <w:t>Subcapitolul 3.2 Informatii despre apelurile de fise de proiect</w:t>
      </w:r>
      <w:bookmarkEnd w:id="21"/>
    </w:p>
    <w:p>
      <w:pPr>
        <w:spacing w:after="0" w:line="240" w:lineRule="auto"/>
        <w:rPr>
          <w:rFonts w:ascii="Trebuchet MS" w:hAnsi="Trebuchet MS"/>
        </w:rPr>
      </w:pPr>
    </w:p>
    <w:p>
      <w:pPr>
        <w:pStyle w:val="Heading3"/>
        <w:spacing w:before="0" w:line="240" w:lineRule="auto"/>
        <w:rPr>
          <w:rFonts w:ascii="Trebuchet MS" w:hAnsi="Trebuchet MS"/>
          <w:bCs w:val="0"/>
          <w:i/>
          <w:noProof/>
          <w:color w:val="auto"/>
        </w:rPr>
      </w:pPr>
      <w:bookmarkStart w:id="22" w:name="_Toc41298487"/>
      <w:r>
        <w:rPr>
          <w:rFonts w:ascii="Trebuchet MS" w:hAnsi="Trebuchet MS"/>
          <w:bCs w:val="0"/>
          <w:i/>
          <w:noProof/>
          <w:color w:val="auto"/>
        </w:rPr>
        <w:t>Secțiunea3.2.1Ce tip de apeluri de fise de proiect se lanseaza</w:t>
      </w:r>
      <w:bookmarkEnd w:id="22"/>
    </w:p>
    <w:p>
      <w:pPr>
        <w:spacing w:after="0" w:line="240" w:lineRule="auto"/>
        <w:rPr>
          <w:rFonts w:ascii="Trebuchet MS" w:hAnsi="Trebuchet MS"/>
        </w:rPr>
      </w:pPr>
    </w:p>
    <w:p>
      <w:pPr>
        <w:shd w:val="clear" w:color="auto" w:fill="FFFFFF"/>
        <w:spacing w:after="0" w:line="240" w:lineRule="auto"/>
        <w:ind w:firstLine="357"/>
        <w:jc w:val="both"/>
        <w:rPr>
          <w:rFonts w:ascii="Trebuchet MS" w:hAnsi="Trebuchet MS" w:cs="Arial"/>
        </w:rPr>
      </w:pPr>
      <w:r>
        <w:rPr>
          <w:rFonts w:ascii="Trebuchet MS" w:hAnsi="Trebuchet MS" w:cs="Arial"/>
        </w:rPr>
        <w:t xml:space="preserve">Tipurile de apeluri organizate de către GAL </w:t>
      </w:r>
      <w:r>
        <w:rPr>
          <w:rFonts w:ascii="Trebuchet MS" w:hAnsi="Trebuchet MS" w:cs="Arial"/>
          <w:i/>
        </w:rPr>
        <w:t>Botosani pentru Viitor</w:t>
      </w:r>
      <w:r>
        <w:rPr>
          <w:rFonts w:ascii="Trebuchet MS" w:hAnsi="Trebuchet MS" w:cs="Arial"/>
        </w:rPr>
        <w:t xml:space="preserve"> sunt sesiuni periodice limitate, de depunere a fişelor de proiecte.Tipul de apel pentru intervenţiile POR este COMPETITIV.</w:t>
      </w:r>
    </w:p>
    <w:p>
      <w:pPr>
        <w:shd w:val="clear" w:color="auto" w:fill="FFFFFF"/>
        <w:spacing w:after="0" w:line="240" w:lineRule="auto"/>
        <w:ind w:firstLine="357"/>
        <w:jc w:val="both"/>
        <w:rPr>
          <w:rFonts w:ascii="Trebuchet MS" w:hAnsi="Trebuchet MS" w:cs="Arial"/>
          <w:b/>
        </w:rPr>
      </w:pPr>
    </w:p>
    <w:p>
      <w:pPr>
        <w:pStyle w:val="Heading3"/>
        <w:spacing w:before="0" w:line="240" w:lineRule="auto"/>
        <w:rPr>
          <w:rFonts w:ascii="Trebuchet MS" w:hAnsi="Trebuchet MS"/>
          <w:bCs w:val="0"/>
          <w:i/>
          <w:noProof/>
          <w:color w:val="auto"/>
        </w:rPr>
      </w:pPr>
      <w:bookmarkStart w:id="23" w:name="_Toc41298488"/>
      <w:r>
        <w:rPr>
          <w:rFonts w:ascii="Trebuchet MS" w:hAnsi="Trebuchet MS"/>
          <w:bCs w:val="0"/>
          <w:i/>
          <w:noProof/>
          <w:color w:val="auto"/>
        </w:rPr>
        <w:t>Secțiunea 3.2.2 Care este perioada în care pot fi depuse fișele de proiecte</w:t>
      </w:r>
      <w:bookmarkEnd w:id="23"/>
    </w:p>
    <w:p>
      <w:pPr>
        <w:spacing w:after="0" w:line="240" w:lineRule="auto"/>
        <w:rPr>
          <w:rFonts w:ascii="Trebuchet MS" w:hAnsi="Trebuchet MS"/>
        </w:rPr>
      </w:pPr>
    </w:p>
    <w:p>
      <w:pPr>
        <w:pStyle w:val="ListParagraph"/>
        <w:numPr>
          <w:ilvl w:val="0"/>
          <w:numId w:val="11"/>
        </w:numPr>
        <w:spacing w:after="0" w:line="240" w:lineRule="auto"/>
        <w:jc w:val="both"/>
        <w:rPr>
          <w:rFonts w:ascii="Trebuchet MS" w:hAnsi="Trebuchet MS" w:cs="Arial"/>
          <w:b/>
          <w:sz w:val="22"/>
          <w:szCs w:val="22"/>
        </w:rPr>
      </w:pPr>
      <w:r>
        <w:rPr>
          <w:rFonts w:ascii="Trebuchet MS" w:hAnsi="Trebuchet MS" w:cs="Arial"/>
          <w:b/>
          <w:sz w:val="22"/>
          <w:szCs w:val="22"/>
        </w:rPr>
        <w:t>Data lansării apelului de selecție:16.09.2020</w:t>
      </w:r>
    </w:p>
    <w:p>
      <w:pPr>
        <w:spacing w:after="0" w:line="240" w:lineRule="auto"/>
        <w:ind w:left="360"/>
        <w:jc w:val="both"/>
        <w:rPr>
          <w:rFonts w:ascii="Trebuchet MS" w:hAnsi="Trebuchet MS" w:cs="Arial"/>
          <w:b/>
        </w:rPr>
      </w:pPr>
    </w:p>
    <w:p>
      <w:pPr>
        <w:pStyle w:val="ListParagraph"/>
        <w:numPr>
          <w:ilvl w:val="0"/>
          <w:numId w:val="11"/>
        </w:numPr>
        <w:spacing w:after="0" w:line="240" w:lineRule="auto"/>
        <w:jc w:val="both"/>
        <w:rPr>
          <w:rFonts w:ascii="Trebuchet MS" w:hAnsi="Trebuchet MS" w:cs="Arial"/>
          <w:b/>
          <w:sz w:val="22"/>
          <w:szCs w:val="22"/>
        </w:rPr>
      </w:pPr>
      <w:r>
        <w:rPr>
          <w:rFonts w:ascii="Trebuchet MS" w:hAnsi="Trebuchet MS"/>
          <w:b/>
          <w:sz w:val="22"/>
          <w:szCs w:val="22"/>
        </w:rPr>
        <w:t>Data și ora de începere a depunerii de fise de proiecte – 17.09.2020 ora 11.00</w:t>
      </w:r>
    </w:p>
    <w:p>
      <w:pPr>
        <w:spacing w:after="0" w:line="240" w:lineRule="auto"/>
        <w:jc w:val="both"/>
        <w:rPr>
          <w:rFonts w:ascii="Trebuchet MS" w:hAnsi="Trebuchet MS" w:cs="Arial"/>
          <w:b/>
        </w:rPr>
      </w:pPr>
    </w:p>
    <w:p>
      <w:pPr>
        <w:numPr>
          <w:ilvl w:val="0"/>
          <w:numId w:val="11"/>
        </w:numPr>
        <w:shd w:val="clear" w:color="auto" w:fill="FFFFFF"/>
        <w:spacing w:after="0" w:line="240" w:lineRule="auto"/>
        <w:jc w:val="both"/>
        <w:rPr>
          <w:rFonts w:ascii="Trebuchet MS" w:hAnsi="Trebuchet MS" w:cs="Arial"/>
          <w:b/>
        </w:rPr>
      </w:pPr>
      <w:r>
        <w:rPr>
          <w:rFonts w:ascii="Trebuchet MS" w:hAnsi="Trebuchet MS" w:cs="Arial"/>
          <w:b/>
        </w:rPr>
        <w:t>Data limită de depunere a propunerilor de fise de proiecte: 2.11.2020</w:t>
      </w:r>
    </w:p>
    <w:p>
      <w:pPr>
        <w:shd w:val="clear" w:color="auto" w:fill="FFFFFF"/>
        <w:spacing w:after="0" w:line="240" w:lineRule="auto"/>
        <w:ind w:left="360"/>
        <w:jc w:val="both"/>
        <w:rPr>
          <w:rFonts w:ascii="Trebuchet MS" w:hAnsi="Trebuchet MS" w:cs="Arial"/>
          <w:b/>
        </w:rPr>
      </w:pPr>
    </w:p>
    <w:p>
      <w:pPr>
        <w:numPr>
          <w:ilvl w:val="0"/>
          <w:numId w:val="11"/>
        </w:numPr>
        <w:shd w:val="clear" w:color="auto" w:fill="FFFFFF"/>
        <w:spacing w:after="0" w:line="240" w:lineRule="auto"/>
        <w:jc w:val="both"/>
        <w:rPr>
          <w:rFonts w:ascii="Trebuchet MS" w:hAnsi="Trebuchet MS" w:cs="Arial"/>
          <w:b/>
        </w:rPr>
      </w:pPr>
      <w:r>
        <w:rPr>
          <w:rFonts w:ascii="Trebuchet MS" w:hAnsi="Trebuchet MS" w:cs="Arial"/>
          <w:b/>
        </w:rPr>
        <w:t>Data și ora de închidere a depunerii de fise de  proiecte – 2.11.2020</w:t>
      </w:r>
    </w:p>
    <w:p>
      <w:pPr>
        <w:numPr>
          <w:ilvl w:val="0"/>
          <w:numId w:val="11"/>
        </w:numPr>
        <w:shd w:val="clear" w:color="auto" w:fill="FFFFFF"/>
        <w:spacing w:after="0" w:line="240" w:lineRule="auto"/>
        <w:jc w:val="both"/>
        <w:rPr>
          <w:rFonts w:ascii="Trebuchet MS" w:hAnsi="Trebuchet MS" w:cs="Arial"/>
          <w:b/>
        </w:rPr>
      </w:pPr>
      <w:r>
        <w:rPr>
          <w:rFonts w:ascii="Trebuchet MS" w:hAnsi="Trebuchet MS" w:cs="Arial"/>
          <w:b/>
        </w:rPr>
        <w:t xml:space="preserve"> ora 18.00</w:t>
      </w:r>
    </w:p>
    <w:p>
      <w:pPr>
        <w:shd w:val="clear" w:color="auto" w:fill="FFFFFF"/>
        <w:spacing w:after="0" w:line="240" w:lineRule="auto"/>
        <w:ind w:left="360"/>
        <w:jc w:val="both"/>
        <w:rPr>
          <w:rFonts w:ascii="Trebuchet MS" w:hAnsi="Trebuchet MS" w:cs="Arial"/>
          <w:b/>
          <w:color w:val="00B050"/>
        </w:rPr>
      </w:pPr>
    </w:p>
    <w:p>
      <w:pPr>
        <w:numPr>
          <w:ilvl w:val="0"/>
          <w:numId w:val="11"/>
        </w:numPr>
        <w:shd w:val="clear" w:color="auto" w:fill="FFFFFF"/>
        <w:spacing w:after="0" w:line="240" w:lineRule="auto"/>
        <w:jc w:val="both"/>
        <w:rPr>
          <w:rFonts w:ascii="Trebuchet MS" w:hAnsi="Trebuchet MS" w:cs="Arial"/>
          <w:b/>
          <w:sz w:val="24"/>
          <w:szCs w:val="24"/>
        </w:rPr>
      </w:pPr>
      <w:r>
        <w:rPr>
          <w:rFonts w:ascii="Trebuchet MS" w:hAnsi="Trebuchet MS" w:cs="Arial"/>
          <w:b/>
          <w:sz w:val="24"/>
          <w:szCs w:val="24"/>
        </w:rPr>
        <w:t>Locul și intervalul orar în care se pot depune proiectele:</w:t>
      </w:r>
    </w:p>
    <w:p>
      <w:pPr>
        <w:shd w:val="clear" w:color="auto" w:fill="FFFFFF"/>
        <w:spacing w:after="0" w:line="240" w:lineRule="auto"/>
        <w:jc w:val="both"/>
        <w:rPr>
          <w:rFonts w:ascii="Trebuchet MS" w:hAnsi="Trebuchet MS" w:cs="Arial"/>
          <w:b/>
          <w:sz w:val="24"/>
          <w:szCs w:val="24"/>
        </w:rPr>
      </w:pPr>
      <w:r>
        <w:rPr>
          <w:rFonts w:ascii="Trebuchet MS" w:hAnsi="Trebuchet MS" w:cs="Arial"/>
          <w:sz w:val="24"/>
          <w:szCs w:val="24"/>
        </w:rPr>
        <w:t xml:space="preserve">- </w:t>
      </w:r>
      <w:r>
        <w:rPr>
          <w:rFonts w:ascii="Trebuchet MS" w:hAnsi="Trebuchet MS" w:cs="Arial"/>
          <w:b/>
          <w:sz w:val="24"/>
          <w:szCs w:val="24"/>
        </w:rPr>
        <w:t>Locul de depunere al proiectelor: sediul Asociației GAL Botosani pentru Viitor str. Postei nr.9 Incubatorul de Afaceri, cam 214, Botosani.</w:t>
      </w:r>
    </w:p>
    <w:p>
      <w:pPr>
        <w:shd w:val="clear" w:color="auto" w:fill="FFFFFF"/>
        <w:spacing w:after="0" w:line="240" w:lineRule="auto"/>
        <w:jc w:val="both"/>
        <w:rPr>
          <w:rFonts w:ascii="Trebuchet MS" w:hAnsi="Trebuchet MS" w:cs="Arial"/>
          <w:b/>
          <w:sz w:val="24"/>
          <w:szCs w:val="24"/>
        </w:rPr>
      </w:pPr>
      <w:r>
        <w:rPr>
          <w:rFonts w:ascii="Trebuchet MS" w:hAnsi="Trebuchet MS" w:cs="Arial"/>
          <w:sz w:val="24"/>
          <w:szCs w:val="24"/>
        </w:rPr>
        <w:t xml:space="preserve">- </w:t>
      </w:r>
      <w:r>
        <w:rPr>
          <w:rFonts w:ascii="Trebuchet MS" w:hAnsi="Trebuchet MS" w:cs="Arial"/>
          <w:b/>
          <w:sz w:val="24"/>
          <w:szCs w:val="24"/>
        </w:rPr>
        <w:t>Intervalul orar de depunere a proiectelor: în fiecare zi lucrătoare între orele 11.00-18.00</w:t>
      </w:r>
    </w:p>
    <w:p>
      <w:pPr>
        <w:shd w:val="clear" w:color="auto" w:fill="FFFFFF"/>
        <w:spacing w:after="0" w:line="240" w:lineRule="auto"/>
        <w:jc w:val="both"/>
        <w:rPr>
          <w:rFonts w:ascii="Trebuchet MS" w:hAnsi="Trebuchet MS" w:cs="Arial"/>
          <w:b/>
          <w:sz w:val="24"/>
          <w:szCs w:val="24"/>
        </w:rPr>
      </w:pPr>
    </w:p>
    <w:p>
      <w:pPr>
        <w:pStyle w:val="Heading3"/>
        <w:spacing w:before="0" w:line="240" w:lineRule="auto"/>
        <w:jc w:val="both"/>
        <w:rPr>
          <w:rFonts w:ascii="Trebuchet MS" w:hAnsi="Trebuchet MS"/>
          <w:bCs w:val="0"/>
          <w:i/>
          <w:noProof/>
          <w:color w:val="auto"/>
        </w:rPr>
      </w:pPr>
      <w:bookmarkStart w:id="24" w:name="_Toc41298489"/>
      <w:r>
        <w:rPr>
          <w:rFonts w:ascii="Trebuchet MS" w:hAnsi="Trebuchet MS"/>
          <w:bCs w:val="0"/>
          <w:i/>
          <w:noProof/>
          <w:color w:val="auto"/>
        </w:rPr>
        <w:t>Secțiunea 3.2.3Unde se depun fișele de proiecte si care este modalitatea de depunere</w:t>
      </w:r>
      <w:bookmarkEnd w:id="24"/>
    </w:p>
    <w:p>
      <w:pPr>
        <w:spacing w:after="0" w:line="240" w:lineRule="auto"/>
        <w:rPr>
          <w:rFonts w:ascii="Trebuchet MS" w:hAnsi="Trebuchet MS"/>
        </w:rPr>
      </w:pPr>
    </w:p>
    <w:p>
      <w:pPr>
        <w:spacing w:after="0" w:line="240" w:lineRule="auto"/>
        <w:ind w:right="-20" w:firstLine="720"/>
        <w:jc w:val="both"/>
        <w:rPr>
          <w:rFonts w:ascii="Trebuchet MS" w:eastAsia="Tahoma" w:hAnsi="Trebuchet MS" w:cs="Tahoma"/>
        </w:rPr>
      </w:pPr>
      <w:r>
        <w:rPr>
          <w:rFonts w:ascii="Trebuchet MS" w:eastAsia="Tahoma" w:hAnsi="Trebuchet MS" w:cs="Tahoma"/>
        </w:rPr>
        <w:t>Pri</w:t>
      </w:r>
      <w:r>
        <w:rPr>
          <w:rFonts w:ascii="Trebuchet MS" w:eastAsia="Tahoma" w:hAnsi="Trebuchet MS" w:cs="Tahoma"/>
          <w:spacing w:val="-2"/>
        </w:rPr>
        <w:t>m</w:t>
      </w:r>
      <w:r>
        <w:rPr>
          <w:rFonts w:ascii="Trebuchet MS" w:eastAsia="Tahoma" w:hAnsi="Trebuchet MS" w:cs="Tahoma"/>
        </w:rPr>
        <w:t>ir</w:t>
      </w:r>
      <w:r>
        <w:rPr>
          <w:rFonts w:ascii="Trebuchet MS" w:eastAsia="Tahoma" w:hAnsi="Trebuchet MS" w:cs="Tahoma"/>
          <w:spacing w:val="1"/>
        </w:rPr>
        <w:t>e</w:t>
      </w:r>
      <w:r>
        <w:rPr>
          <w:rFonts w:ascii="Trebuchet MS" w:eastAsia="Tahoma" w:hAnsi="Trebuchet MS" w:cs="Tahoma"/>
        </w:rPr>
        <w:t>a</w:t>
      </w:r>
      <w:r>
        <w:rPr>
          <w:rFonts w:ascii="Trebuchet MS" w:eastAsia="Tahoma" w:hAnsi="Trebuchet MS" w:cs="Tahoma"/>
          <w:spacing w:val="-5"/>
        </w:rPr>
        <w:t xml:space="preserve"> fișelor de </w:t>
      </w:r>
      <w:r>
        <w:rPr>
          <w:rFonts w:ascii="Trebuchet MS" w:eastAsia="Tahoma" w:hAnsi="Trebuchet MS" w:cs="Tahoma"/>
        </w:rPr>
        <w:t>pr</w:t>
      </w:r>
      <w:r>
        <w:rPr>
          <w:rFonts w:ascii="Trebuchet MS" w:eastAsia="Tahoma" w:hAnsi="Trebuchet MS" w:cs="Tahoma"/>
          <w:spacing w:val="-1"/>
        </w:rPr>
        <w:t>o</w:t>
      </w:r>
      <w:r>
        <w:rPr>
          <w:rFonts w:ascii="Trebuchet MS" w:eastAsia="Tahoma" w:hAnsi="Trebuchet MS" w:cs="Tahoma"/>
        </w:rPr>
        <w:t>i</w:t>
      </w:r>
      <w:r>
        <w:rPr>
          <w:rFonts w:ascii="Trebuchet MS" w:eastAsia="Tahoma" w:hAnsi="Trebuchet MS" w:cs="Tahoma"/>
          <w:spacing w:val="1"/>
        </w:rPr>
        <w:t>e</w:t>
      </w:r>
      <w:r>
        <w:rPr>
          <w:rFonts w:ascii="Trebuchet MS" w:eastAsia="Tahoma" w:hAnsi="Trebuchet MS" w:cs="Tahoma"/>
          <w:spacing w:val="2"/>
        </w:rPr>
        <w:t>c</w:t>
      </w:r>
      <w:r>
        <w:rPr>
          <w:rFonts w:ascii="Trebuchet MS" w:eastAsia="Tahoma" w:hAnsi="Trebuchet MS" w:cs="Tahoma"/>
          <w:spacing w:val="-1"/>
        </w:rPr>
        <w:t>t</w:t>
      </w:r>
      <w:r>
        <w:rPr>
          <w:rFonts w:ascii="Trebuchet MS" w:eastAsia="Tahoma" w:hAnsi="Trebuchet MS" w:cs="Tahoma"/>
          <w:spacing w:val="1"/>
        </w:rPr>
        <w:t xml:space="preserve"> s</w:t>
      </w:r>
      <w:r>
        <w:rPr>
          <w:rFonts w:ascii="Trebuchet MS" w:eastAsia="Tahoma" w:hAnsi="Trebuchet MS" w:cs="Tahoma"/>
        </w:rPr>
        <w:t>efa</w:t>
      </w:r>
      <w:r>
        <w:rPr>
          <w:rFonts w:ascii="Trebuchet MS" w:eastAsia="Tahoma" w:hAnsi="Trebuchet MS" w:cs="Tahoma"/>
          <w:spacing w:val="-1"/>
        </w:rPr>
        <w:t>c</w:t>
      </w:r>
      <w:r>
        <w:rPr>
          <w:rFonts w:ascii="Trebuchet MS" w:eastAsia="Tahoma" w:hAnsi="Trebuchet MS" w:cs="Tahoma"/>
        </w:rPr>
        <w:t xml:space="preserve">e </w:t>
      </w:r>
      <w:r>
        <w:rPr>
          <w:rFonts w:ascii="Trebuchet MS" w:eastAsia="Tahoma" w:hAnsi="Trebuchet MS" w:cs="Tahoma"/>
          <w:spacing w:val="3"/>
        </w:rPr>
        <w:t>l</w:t>
      </w:r>
      <w:r>
        <w:rPr>
          <w:rFonts w:ascii="Trebuchet MS" w:eastAsia="Tahoma" w:hAnsi="Trebuchet MS" w:cs="Tahoma"/>
        </w:rPr>
        <w:t>as</w:t>
      </w:r>
      <w:r>
        <w:rPr>
          <w:rFonts w:ascii="Trebuchet MS" w:eastAsia="Tahoma" w:hAnsi="Trebuchet MS" w:cs="Tahoma"/>
          <w:spacing w:val="1"/>
        </w:rPr>
        <w:t>e</w:t>
      </w:r>
      <w:r>
        <w:rPr>
          <w:rFonts w:ascii="Trebuchet MS" w:eastAsia="Tahoma" w:hAnsi="Trebuchet MS" w:cs="Tahoma"/>
          <w:spacing w:val="2"/>
        </w:rPr>
        <w:t>d</w:t>
      </w:r>
      <w:r>
        <w:rPr>
          <w:rFonts w:ascii="Trebuchet MS" w:eastAsia="Tahoma" w:hAnsi="Trebuchet MS" w:cs="Tahoma"/>
        </w:rPr>
        <w:t>iul GAL,</w:t>
      </w:r>
      <w:r>
        <w:rPr>
          <w:rFonts w:ascii="Trebuchet MS" w:eastAsia="Tahoma" w:hAnsi="Trebuchet MS" w:cs="Tahoma"/>
          <w:spacing w:val="-3"/>
        </w:rPr>
        <w:t xml:space="preserve"> din municipiul  Botosani,  Strada Postei nr 9, Incubatorul de afaceri, cam 214,  jude</w:t>
      </w:r>
      <w:r>
        <w:rPr>
          <w:rFonts w:ascii="Trebuchet MS" w:hAnsi="Trebuchet MS" w:cs="Tahoma"/>
        </w:rPr>
        <w:t>ț</w:t>
      </w:r>
      <w:r>
        <w:rPr>
          <w:rFonts w:ascii="Trebuchet MS" w:eastAsia="Tahoma" w:hAnsi="Trebuchet MS" w:cs="Tahoma"/>
          <w:spacing w:val="-3"/>
        </w:rPr>
        <w:t>ul Botosani,</w:t>
      </w:r>
      <w:r>
        <w:rPr>
          <w:rFonts w:ascii="Trebuchet MS" w:eastAsia="Tahoma" w:hAnsi="Trebuchet MS" w:cs="Tahoma"/>
          <w:spacing w:val="1"/>
        </w:rPr>
        <w:t xml:space="preserve"> fiecărei fișe de propunere de proiect fiindu-i atribuit un număr de înregistrare, din Registrul de intrare -iesire al institutiei</w:t>
      </w:r>
      <w:r>
        <w:rPr>
          <w:rFonts w:ascii="Trebuchet MS" w:eastAsia="Tahoma" w:hAnsi="Trebuchet MS" w:cs="Tahoma"/>
        </w:rPr>
        <w:t>.</w:t>
      </w:r>
    </w:p>
    <w:p>
      <w:pPr>
        <w:adjustRightInd w:val="0"/>
        <w:spacing w:line="240" w:lineRule="auto"/>
        <w:ind w:firstLine="708"/>
        <w:jc w:val="both"/>
        <w:rPr>
          <w:rFonts w:ascii="Trebuchet MS" w:hAnsi="Trebuchet MS"/>
          <w:lang w:val="ro-RO" w:eastAsia="ro-RO"/>
        </w:rPr>
      </w:pPr>
      <w:r>
        <w:rPr>
          <w:rFonts w:ascii="Trebuchet MS" w:hAnsi="Trebuchet MS"/>
          <w:lang w:val="ro-RO" w:eastAsia="ro-RO"/>
        </w:rPr>
        <w:t>Potențialul beneficiar/ Solicitantul, depune Fișa de proiect în două (2) exemplare (un original și o copie) în format fizic, precum și două (2) exemplare copie pe suport electronic (CD, DVD, stick),intr-un plic sigilat, insotit de o adresa de inaintare realizata in doua exemplare , la sediul GAL Botoșani pentru Viitor, str. Poștei nr.9, Incubatorul de Afaceri, cam 214. Fiecare exemplar va conține formularul Fișa de Proiect POR corect completata, Anexele , după caz.</w:t>
      </w:r>
    </w:p>
    <w:p>
      <w:pPr>
        <w:adjustRightInd w:val="0"/>
        <w:spacing w:line="240" w:lineRule="auto"/>
        <w:ind w:firstLine="708"/>
        <w:jc w:val="both"/>
        <w:rPr>
          <w:rFonts w:ascii="Trebuchet MS" w:hAnsi="Trebuchet MS"/>
          <w:b/>
          <w:color w:val="1F497D" w:themeColor="text2"/>
          <w:lang w:val="ro-RO" w:eastAsia="ro-RO"/>
        </w:rPr>
      </w:pPr>
      <w:r>
        <w:rPr>
          <w:rFonts w:ascii="Trebuchet MS" w:hAnsi="Trebuchet MS"/>
          <w:b/>
          <w:color w:val="1F497D" w:themeColor="text2"/>
          <w:lang w:val="ro-RO" w:eastAsia="ro-RO"/>
        </w:rPr>
        <w:t>Atentie - Toate documentele depuse, vor fi personalizate cu antetul institutiei emitente, avand numar de inregistrare si  date de contact completate.</w:t>
      </w:r>
    </w:p>
    <w:p>
      <w:pPr>
        <w:spacing w:after="0" w:line="240" w:lineRule="auto"/>
        <w:ind w:right="-20" w:firstLine="720"/>
        <w:jc w:val="both"/>
        <w:rPr>
          <w:rFonts w:ascii="Trebuchet MS" w:hAnsi="Trebuchet MS" w:cs="Tahoma"/>
        </w:rPr>
      </w:pPr>
      <w:r>
        <w:rPr>
          <w:rFonts w:ascii="Trebuchet MS" w:hAnsi="Trebuchet MS" w:cs="Tahoma"/>
        </w:rPr>
        <w:t>Fișa de propunere de proiect depusă la GAL trebuie să fie însoțită de anexele tehnice şi administrative detaliate în ghidul specific al fiecărui apel, legate într-un singur dosar sigilat, astfel încât să nu permită detașarea şi/sau înlocuirea acestora. Fișele de propunere de proiect utilizate de solicitanți vor fi cele disponibile pe site</w:t>
      </w:r>
      <w:r>
        <w:rPr>
          <w:rFonts w:ascii="Trebuchet MS" w:hAnsi="Trebuchet MS" w:cs="Cambria Math"/>
        </w:rPr>
        <w:t>‐</w:t>
      </w:r>
      <w:r>
        <w:rPr>
          <w:rFonts w:ascii="Trebuchet MS" w:hAnsi="Trebuchet MS" w:cs="Tahoma"/>
        </w:rPr>
        <w:t xml:space="preserve">ul GAL la momentul lansării apelului de selecție (format editabil). </w:t>
      </w:r>
    </w:p>
    <w:p>
      <w:pPr>
        <w:pStyle w:val="Default"/>
        <w:ind w:firstLine="720"/>
        <w:jc w:val="both"/>
        <w:rPr>
          <w:rFonts w:ascii="Trebuchet MS" w:hAnsi="Trebuchet MS" w:cs="Tahoma"/>
          <w:color w:val="auto"/>
          <w:sz w:val="22"/>
          <w:szCs w:val="22"/>
        </w:rPr>
      </w:pPr>
      <w:r>
        <w:rPr>
          <w:rFonts w:ascii="Trebuchet MS" w:hAnsi="Trebuchet MS" w:cs="Tahoma"/>
          <w:color w:val="auto"/>
          <w:sz w:val="22"/>
          <w:szCs w:val="22"/>
        </w:rPr>
        <w:t xml:space="preserve">Fișa de propunere de proiect se va redactă pe calculator, în limba română și va fi însoțită de anexele prevăzute în prezentul ghid. </w:t>
      </w:r>
    </w:p>
    <w:p>
      <w:pPr>
        <w:pStyle w:val="Default"/>
        <w:ind w:firstLine="720"/>
        <w:jc w:val="both"/>
        <w:rPr>
          <w:rFonts w:ascii="Trebuchet MS" w:hAnsi="Trebuchet MS" w:cs="Tahoma"/>
          <w:color w:val="auto"/>
          <w:sz w:val="22"/>
          <w:szCs w:val="22"/>
        </w:rPr>
      </w:pPr>
      <w:r>
        <w:rPr>
          <w:rFonts w:ascii="Trebuchet MS" w:hAnsi="Trebuchet MS" w:cs="Tahoma"/>
          <w:color w:val="auto"/>
          <w:sz w:val="22"/>
          <w:szCs w:val="22"/>
        </w:rPr>
        <w:t xml:space="preserve"> Completarea Fișei de Proiect, inclusiv a anexelor acesteia, se va face conform modelului standard elaborat de GAL. Modificarea modelului standard de către solicitant (eliminarea, renumerotarea secţiunilor, anexarea documentelor suport în altă ordine decât cea specificată etc.) poate conduce la respingerea fișei de propunere de proiect. </w:t>
      </w:r>
    </w:p>
    <w:p>
      <w:pPr>
        <w:pStyle w:val="Default"/>
        <w:ind w:firstLine="720"/>
        <w:jc w:val="both"/>
        <w:rPr>
          <w:rFonts w:ascii="Trebuchet MS" w:hAnsi="Trebuchet MS" w:cs="Tahoma"/>
          <w:color w:val="000000" w:themeColor="text1"/>
          <w:sz w:val="22"/>
          <w:szCs w:val="22"/>
        </w:rPr>
      </w:pPr>
      <w:r>
        <w:rPr>
          <w:rFonts w:ascii="Trebuchet MS" w:hAnsi="Trebuchet MS" w:cs="Tahoma"/>
          <w:color w:val="000000" w:themeColor="text1"/>
          <w:sz w:val="22"/>
          <w:szCs w:val="22"/>
        </w:rPr>
        <w:lastRenderedPageBreak/>
        <w:t xml:space="preserve">Documentele trebuie completate într-un mod clar şi coerent pentru a înlesni procesul de evaluare. În acest sens, se vor furniza numai informaţiile necesare şi relevante, care vor preciza modul în care va fi atins scopul proiectului, avantajele ce vor rezulta din implementarea acestuia şi în ce măsură proiectul contribuie la realizarea obiectivelor și indicatorilor Strategiei de Dezvoltare Locală. </w:t>
      </w:r>
    </w:p>
    <w:p>
      <w:pPr>
        <w:autoSpaceDE w:val="0"/>
        <w:autoSpaceDN w:val="0"/>
        <w:adjustRightInd w:val="0"/>
        <w:spacing w:after="0" w:line="240" w:lineRule="auto"/>
        <w:ind w:firstLine="720"/>
        <w:jc w:val="both"/>
        <w:rPr>
          <w:rFonts w:ascii="Trebuchet MS" w:hAnsi="Trebuchet MS" w:cs="Tahoma"/>
        </w:rPr>
      </w:pPr>
      <w:r>
        <w:rPr>
          <w:rFonts w:ascii="Trebuchet MS" w:hAnsi="Trebuchet MS" w:cs="Tahoma"/>
        </w:rPr>
        <w:t>Fi</w:t>
      </w:r>
      <w:r>
        <w:rPr>
          <w:rFonts w:ascii="Trebuchet MS" w:hAnsi="Trebuchet MS" w:cs="Tahoma"/>
          <w:lang w:val="ro-RO"/>
        </w:rPr>
        <w:t>ş</w:t>
      </w:r>
      <w:r>
        <w:rPr>
          <w:rFonts w:ascii="Trebuchet MS" w:hAnsi="Trebuchet MS" w:cs="Tahoma"/>
        </w:rPr>
        <w:t>ele de proiecte conforme din punct de vedere al criteriilor de depunere (dată, oră şi modalitate de depunere), vor fi verificate din punct de vedere al conformităţii administrative şi al eligibilităţii.</w:t>
      </w:r>
    </w:p>
    <w:p>
      <w:pPr>
        <w:pStyle w:val="ListParagraph"/>
        <w:spacing w:after="0" w:line="240" w:lineRule="auto"/>
        <w:ind w:left="0"/>
        <w:contextualSpacing w:val="0"/>
        <w:jc w:val="both"/>
        <w:rPr>
          <w:rFonts w:ascii="Trebuchet MS" w:hAnsi="Trebuchet MS"/>
          <w:sz w:val="22"/>
          <w:szCs w:val="22"/>
        </w:rPr>
      </w:pPr>
      <w:r>
        <w:rPr>
          <w:rFonts w:ascii="Trebuchet MS" w:hAnsi="Trebuchet MS"/>
          <w:sz w:val="22"/>
          <w:szCs w:val="22"/>
        </w:rPr>
        <w:tab/>
      </w:r>
    </w:p>
    <w:p>
      <w:pPr>
        <w:pStyle w:val="ListParagraph"/>
        <w:spacing w:after="0" w:line="240" w:lineRule="auto"/>
        <w:ind w:left="0"/>
        <w:contextualSpacing w:val="0"/>
        <w:jc w:val="both"/>
        <w:rPr>
          <w:rFonts w:ascii="Trebuchet MS" w:hAnsi="Trebuchet MS"/>
          <w:sz w:val="22"/>
          <w:szCs w:val="22"/>
        </w:rPr>
      </w:pPr>
      <w:r>
        <w:rPr>
          <w:rFonts w:ascii="Trebuchet MS" w:hAnsi="Trebuchet MS"/>
          <w:sz w:val="22"/>
          <w:szCs w:val="22"/>
        </w:rPr>
        <w:t>Fișele de proiect trebuie să fie întocmite în limba română și să respecte formatul și instrucțiunile de completare prezentate în cadrul prezentului ghid. Fisa de proiect  va fi disponibila in format editabil, la lansarea apelului, pe  site-ul GAL la adresa www.galbotosani.ro. Documentele redactate în altă limbă vor fi însoțite, în mod obligatoriu de traducere autorizată în limba română. Nu se acceptă fișe de proiect completate de mână.</w:t>
      </w:r>
    </w:p>
    <w:p>
      <w:pPr>
        <w:spacing w:line="240" w:lineRule="auto"/>
        <w:jc w:val="center"/>
        <w:rPr>
          <w:rFonts w:ascii="Trebuchet MS" w:eastAsia="SimSun" w:hAnsi="Trebuchet MS"/>
          <w:color w:val="C0504D" w:themeColor="accent2"/>
        </w:rPr>
      </w:pPr>
    </w:p>
    <w:p>
      <w:pPr>
        <w:pStyle w:val="Heading3"/>
        <w:spacing w:before="0" w:line="240" w:lineRule="auto"/>
        <w:jc w:val="both"/>
        <w:rPr>
          <w:rFonts w:ascii="Trebuchet MS" w:hAnsi="Trebuchet MS"/>
          <w:bCs w:val="0"/>
          <w:i/>
          <w:noProof/>
          <w:color w:val="auto"/>
        </w:rPr>
      </w:pPr>
      <w:bookmarkStart w:id="25" w:name="_Toc41298490"/>
      <w:bookmarkStart w:id="26" w:name="_Toc22832107"/>
      <w:r>
        <w:rPr>
          <w:rFonts w:ascii="Trebuchet MS" w:hAnsi="Trebuchet MS"/>
          <w:bCs w:val="0"/>
          <w:i/>
          <w:noProof/>
          <w:color w:val="auto"/>
        </w:rPr>
        <w:t>Secțiunea 3.2.4 Tipuri de acțiuni sprijinite</w:t>
      </w:r>
      <w:bookmarkEnd w:id="25"/>
    </w:p>
    <w:p>
      <w:pPr>
        <w:spacing w:after="0"/>
        <w:rPr>
          <w:rFonts w:ascii="Trebuchet MS" w:hAnsi="Trebuchet MS"/>
        </w:rPr>
      </w:pPr>
    </w:p>
    <w:bookmarkEnd w:id="26"/>
    <w:p>
      <w:pPr>
        <w:pStyle w:val="ListParagraph"/>
        <w:numPr>
          <w:ilvl w:val="0"/>
          <w:numId w:val="13"/>
        </w:numPr>
        <w:spacing w:after="120" w:line="240" w:lineRule="auto"/>
        <w:jc w:val="both"/>
        <w:rPr>
          <w:rFonts w:ascii="Trebuchet MS" w:hAnsi="Trebuchet MS" w:cs="Calibri"/>
          <w:b/>
          <w:sz w:val="22"/>
          <w:szCs w:val="22"/>
          <w:lang w:val="ro-RO"/>
        </w:rPr>
      </w:pPr>
      <w:r>
        <w:rPr>
          <w:rFonts w:ascii="Trebuchet MS" w:hAnsi="Trebuchet MS" w:cs="Calibri"/>
          <w:b/>
          <w:sz w:val="22"/>
          <w:szCs w:val="22"/>
          <w:lang w:val="ro-RO"/>
        </w:rPr>
        <w:t xml:space="preserve">Acțiunile sprijinite în cadrul axei prioritare/priorității de investiții POR </w:t>
      </w:r>
    </w:p>
    <w:p>
      <w:pPr>
        <w:spacing w:after="120" w:line="240" w:lineRule="auto"/>
        <w:jc w:val="both"/>
        <w:rPr>
          <w:rFonts w:ascii="Trebuchet MS" w:hAnsi="Trebuchet MS" w:cs="Calibri"/>
          <w:bCs/>
          <w:lang w:val="ro-RO"/>
        </w:rPr>
      </w:pPr>
      <w:r>
        <w:rPr>
          <w:rFonts w:ascii="Trebuchet MS" w:hAnsi="Trebuchet MS" w:cs="Calibri"/>
          <w:bCs/>
          <w:lang w:val="ro-RO"/>
        </w:rPr>
        <w:t>În conformitate cu prevederile POR 2014-2020, intervențiile sprijinite în cadrul acestei priorități de investiții pot include diverse tipuri de investiții, în funcție de nevoile specifice identificate la nivel local în cadrul SDL elaborate de către Grupurile de Acțiune Locală și se referă la :</w:t>
      </w:r>
    </w:p>
    <w:p>
      <w:pPr>
        <w:numPr>
          <w:ilvl w:val="0"/>
          <w:numId w:val="14"/>
        </w:numPr>
        <w:spacing w:after="120" w:line="240" w:lineRule="auto"/>
        <w:jc w:val="both"/>
        <w:rPr>
          <w:rFonts w:ascii="Trebuchet MS" w:hAnsi="Trebuchet MS" w:cs="Calibri"/>
          <w:bCs/>
          <w:lang w:val="ro-RO"/>
        </w:rPr>
      </w:pPr>
      <w:r>
        <w:rPr>
          <w:rFonts w:ascii="Trebuchet MS" w:hAnsi="Trebuchet MS" w:cs="Calibri"/>
          <w:bCs/>
          <w:lang w:val="ro-RO"/>
        </w:rPr>
        <w:t>investiţii în infrastructura de locuire - construirea/reabilitare/modernizare locuinţelor sociale</w:t>
      </w:r>
    </w:p>
    <w:p>
      <w:pPr>
        <w:numPr>
          <w:ilvl w:val="0"/>
          <w:numId w:val="14"/>
        </w:numPr>
        <w:spacing w:after="120" w:line="240" w:lineRule="auto"/>
        <w:jc w:val="both"/>
        <w:rPr>
          <w:rFonts w:ascii="Trebuchet MS" w:hAnsi="Trebuchet MS" w:cs="Calibri"/>
          <w:bCs/>
          <w:lang w:val="ro-RO"/>
        </w:rPr>
      </w:pPr>
      <w:r>
        <w:rPr>
          <w:rFonts w:ascii="Trebuchet MS" w:hAnsi="Trebuchet MS" w:cs="Calibri"/>
          <w:bCs/>
          <w:lang w:val="ro-RO"/>
        </w:rPr>
        <w:t>investiţii în infrastructura de sănătate, servicii sociale –  constructia/ reabilitarea/ modernizarea/ dotarea centrelor comunitare integrate medico-sociale;</w:t>
      </w:r>
    </w:p>
    <w:p>
      <w:pPr>
        <w:numPr>
          <w:ilvl w:val="0"/>
          <w:numId w:val="14"/>
        </w:numPr>
        <w:spacing w:after="120" w:line="240" w:lineRule="auto"/>
        <w:jc w:val="both"/>
        <w:rPr>
          <w:rFonts w:ascii="Trebuchet MS" w:hAnsi="Trebuchet MS" w:cs="Calibri"/>
          <w:bCs/>
          <w:lang w:val="ro-RO"/>
        </w:rPr>
      </w:pPr>
      <w:r>
        <w:rPr>
          <w:rFonts w:ascii="Trebuchet MS" w:hAnsi="Trebuchet MS" w:cs="Calibri"/>
          <w:bCs/>
          <w:lang w:val="ro-RO"/>
        </w:rPr>
        <w:t>investiţii în infrastructura de educaţie – construire /reabilitare/modernizare/dotarea de unităţi de învăţământ preuniversitar (creşe, grădiniţe, şcoli primare, şcoli gimnaziale etc.);</w:t>
      </w:r>
    </w:p>
    <w:p>
      <w:pPr>
        <w:numPr>
          <w:ilvl w:val="0"/>
          <w:numId w:val="14"/>
        </w:numPr>
        <w:spacing w:after="120" w:line="240" w:lineRule="auto"/>
        <w:jc w:val="both"/>
        <w:rPr>
          <w:rFonts w:ascii="Trebuchet MS" w:hAnsi="Trebuchet MS" w:cs="Calibri"/>
          <w:bCs/>
          <w:lang w:val="ro-RO"/>
        </w:rPr>
      </w:pPr>
      <w:r>
        <w:rPr>
          <w:rFonts w:ascii="Trebuchet MS" w:hAnsi="Trebuchet MS" w:cs="Calibri"/>
          <w:bCs/>
          <w:lang w:val="ro-RO"/>
        </w:rPr>
        <w:t>investiții în amenajări ale spațiului urban degradat al comunității defavorizate respectiv:</w:t>
      </w:r>
    </w:p>
    <w:p>
      <w:pPr>
        <w:numPr>
          <w:ilvl w:val="1"/>
          <w:numId w:val="14"/>
        </w:numPr>
        <w:spacing w:after="120" w:line="240" w:lineRule="auto"/>
        <w:jc w:val="both"/>
        <w:rPr>
          <w:rFonts w:ascii="Trebuchet MS" w:hAnsi="Trebuchet MS" w:cs="Calibri"/>
          <w:bCs/>
          <w:lang w:val="ro-RO"/>
        </w:rPr>
      </w:pPr>
      <w:r>
        <w:rPr>
          <w:rFonts w:ascii="Trebuchet MS" w:hAnsi="Trebuchet MS" w:cs="Calibri"/>
          <w:bCs/>
          <w:lang w:val="ro-RO"/>
        </w:rPr>
        <w:t>construcția/reabilitarea/modernizarea dotarea clădirilor pentru a găzdui diferite activități sociale, comunitare, culturale, agrement și sport etc.;</w:t>
      </w:r>
    </w:p>
    <w:p>
      <w:pPr>
        <w:numPr>
          <w:ilvl w:val="1"/>
          <w:numId w:val="14"/>
        </w:numPr>
        <w:spacing w:after="120" w:line="240" w:lineRule="auto"/>
        <w:jc w:val="both"/>
        <w:rPr>
          <w:rFonts w:ascii="Trebuchet MS" w:hAnsi="Trebuchet MS" w:cs="Calibri"/>
          <w:bCs/>
          <w:lang w:val="ro-RO"/>
        </w:rPr>
      </w:pPr>
      <w:r>
        <w:rPr>
          <w:rFonts w:ascii="Trebuchet MS" w:hAnsi="Trebuchet MS" w:cs="Calibri"/>
          <w:bCs/>
          <w:lang w:val="ro-RO"/>
        </w:rPr>
        <w:t>crearea/reabilitarea/modernizarea/ dotarea spațiilor publice urbane (străzi nemodernizate, inclusiv reabilitarea/modernizarea utilităților publice, zone verzi neamenajate, terenuri abandonate, zone pietonale și comerciale, etc.)</w:t>
      </w:r>
    </w:p>
    <w:p>
      <w:pPr>
        <w:spacing w:after="120" w:line="240" w:lineRule="auto"/>
        <w:jc w:val="both"/>
        <w:rPr>
          <w:rFonts w:ascii="Trebuchet MS" w:hAnsi="Trebuchet MS" w:cs="Calibri"/>
          <w:bCs/>
          <w:i/>
          <w:lang w:val="ro-RO"/>
        </w:rPr>
      </w:pPr>
      <w:r>
        <w:rPr>
          <w:rFonts w:ascii="Trebuchet MS" w:hAnsi="Trebuchet MS" w:cs="Calibri"/>
          <w:bCs/>
          <w:i/>
          <w:lang w:val="ro-RO"/>
        </w:rPr>
        <w:t xml:space="preserve">NOTĂ: </w:t>
      </w:r>
    </w:p>
    <w:p>
      <w:pPr>
        <w:numPr>
          <w:ilvl w:val="0"/>
          <w:numId w:val="15"/>
        </w:numPr>
        <w:spacing w:after="120" w:line="240" w:lineRule="auto"/>
        <w:jc w:val="both"/>
        <w:rPr>
          <w:rFonts w:ascii="Trebuchet MS" w:hAnsi="Trebuchet MS" w:cs="Calibri"/>
          <w:bCs/>
          <w:i/>
          <w:lang w:val="ro-RO"/>
        </w:rPr>
      </w:pPr>
      <w:r>
        <w:rPr>
          <w:rFonts w:ascii="Trebuchet MS" w:hAnsi="Trebuchet MS" w:cs="Calibri"/>
          <w:bCs/>
          <w:i/>
          <w:lang w:val="ro-RO"/>
        </w:rPr>
        <w:lastRenderedPageBreak/>
        <w:t>Sprijinul FEDR pentru utilități publice și infrastructură rutieră (străzi urbane) nu poate depăși 30% din valoarea totală FEDR a pachetului integrat de proiecte aferent SDL.</w:t>
      </w:r>
    </w:p>
    <w:p>
      <w:pPr>
        <w:spacing w:after="120" w:line="240" w:lineRule="auto"/>
        <w:jc w:val="both"/>
        <w:rPr>
          <w:rFonts w:ascii="Trebuchet MS" w:hAnsi="Trebuchet MS" w:cs="Calibri"/>
          <w:b/>
          <w:lang w:val="ro-RO"/>
        </w:rPr>
      </w:pPr>
      <w:r>
        <w:rPr>
          <w:rFonts w:ascii="Trebuchet MS" w:hAnsi="Trebuchet MS" w:cs="Calibri"/>
          <w:b/>
          <w:lang w:val="ro-RO"/>
        </w:rPr>
        <w:t xml:space="preserve">B.Intervențiile din lista indicativă din cadrul Strategiei de Dezvoltare Locală a </w:t>
      </w:r>
      <w:r>
        <w:rPr>
          <w:rFonts w:ascii="Trebuchet MS" w:hAnsi="Trebuchet MS" w:cs="Calibri"/>
          <w:b/>
          <w:bCs/>
        </w:rPr>
        <w:t>GAL BOTOSANI PENTRU VIITOR</w:t>
      </w:r>
      <w:r>
        <w:rPr>
          <w:rFonts w:ascii="Trebuchet MS" w:hAnsi="Trebuchet MS" w:cs="Calibri"/>
          <w:b/>
          <w:lang w:val="ro-RO"/>
        </w:rPr>
        <w:t xml:space="preserve"> care vor fi realizate prin POR AP9, prioritatea de investiții 9.1</w:t>
      </w:r>
    </w:p>
    <w:p>
      <w:pPr>
        <w:pStyle w:val="ListParagraph"/>
        <w:spacing w:after="120" w:line="240" w:lineRule="auto"/>
        <w:ind w:left="360"/>
        <w:jc w:val="both"/>
        <w:rPr>
          <w:rFonts w:ascii="Trebuchet MS" w:hAnsi="Trebuchet MS"/>
          <w:b/>
          <w:sz w:val="24"/>
          <w:szCs w:val="24"/>
        </w:rPr>
      </w:pPr>
    </w:p>
    <w:p>
      <w:pPr>
        <w:pStyle w:val="ListParagraph"/>
        <w:spacing w:after="120" w:line="240" w:lineRule="auto"/>
        <w:ind w:left="360"/>
        <w:jc w:val="both"/>
        <w:rPr>
          <w:rFonts w:ascii="Trebuchet MS" w:hAnsi="Trebuchet MS"/>
          <w:sz w:val="22"/>
          <w:szCs w:val="22"/>
        </w:rPr>
      </w:pPr>
      <w:r>
        <w:rPr>
          <w:rFonts w:ascii="Trebuchet MS" w:hAnsi="Trebuchet MS"/>
          <w:b/>
          <w:sz w:val="22"/>
          <w:szCs w:val="22"/>
        </w:rPr>
        <w:t>Intervenție POR</w:t>
      </w:r>
      <w:r>
        <w:rPr>
          <w:rFonts w:ascii="Trebuchet MS" w:hAnsi="Trebuchet MS"/>
          <w:sz w:val="22"/>
          <w:szCs w:val="22"/>
        </w:rPr>
        <w:t xml:space="preserve"> – Amenajare spații recreere în  ZUM Centrul Vechi și  ZUM Parcul Tineretului</w:t>
      </w:r>
    </w:p>
    <w:p>
      <w:pPr>
        <w:pStyle w:val="ListParagraph"/>
        <w:spacing w:after="120" w:line="240" w:lineRule="auto"/>
        <w:ind w:left="360"/>
        <w:jc w:val="both"/>
        <w:rPr>
          <w:rFonts w:ascii="Trebuchet MS" w:hAnsi="Trebuchet MS"/>
          <w:sz w:val="22"/>
          <w:szCs w:val="22"/>
        </w:rPr>
      </w:pPr>
      <w:r>
        <w:rPr>
          <w:rFonts w:ascii="Trebuchet MS" w:hAnsi="Trebuchet MS"/>
          <w:b/>
          <w:sz w:val="22"/>
          <w:szCs w:val="22"/>
        </w:rPr>
        <w:t>Intervenție POR</w:t>
      </w:r>
      <w:r>
        <w:rPr>
          <w:rFonts w:ascii="Trebuchet MS" w:hAnsi="Trebuchet MS"/>
          <w:sz w:val="22"/>
          <w:szCs w:val="22"/>
        </w:rPr>
        <w:t xml:space="preserve"> – Amenajare peisagistică a teritoriului SDL, inclusiv a sensurilor giratorii</w:t>
      </w:r>
    </w:p>
    <w:p>
      <w:pPr>
        <w:pStyle w:val="ListParagraph"/>
        <w:spacing w:after="120" w:line="240" w:lineRule="auto"/>
        <w:ind w:left="360"/>
        <w:jc w:val="both"/>
        <w:rPr>
          <w:rFonts w:ascii="Trebuchet MS" w:hAnsi="Trebuchet MS"/>
          <w:sz w:val="22"/>
          <w:szCs w:val="22"/>
        </w:rPr>
      </w:pPr>
      <w:r>
        <w:rPr>
          <w:rFonts w:ascii="Trebuchet MS" w:hAnsi="Trebuchet MS"/>
          <w:b/>
          <w:sz w:val="22"/>
          <w:szCs w:val="22"/>
        </w:rPr>
        <w:t>Intervenție POR</w:t>
      </w:r>
      <w:r>
        <w:rPr>
          <w:rFonts w:ascii="Trebuchet MS" w:hAnsi="Trebuchet MS"/>
          <w:sz w:val="22"/>
          <w:szCs w:val="22"/>
        </w:rPr>
        <w:t xml:space="preserve"> – Reabilitare locuințe sociale (fațade, acoperiș, grupuri sanitare, recompartimentare, reabilitarea spațiilor comune, instalații electrice, tamplărie, igienizare interioară)</w:t>
      </w:r>
    </w:p>
    <w:p>
      <w:pPr>
        <w:pStyle w:val="ListParagraph"/>
        <w:spacing w:after="120" w:line="240" w:lineRule="auto"/>
        <w:ind w:left="360"/>
        <w:jc w:val="both"/>
        <w:rPr>
          <w:rFonts w:ascii="Trebuchet MS" w:hAnsi="Trebuchet MS"/>
          <w:sz w:val="22"/>
          <w:szCs w:val="22"/>
        </w:rPr>
      </w:pPr>
      <w:r>
        <w:rPr>
          <w:rFonts w:ascii="Trebuchet MS" w:hAnsi="Trebuchet MS"/>
          <w:b/>
          <w:sz w:val="22"/>
          <w:szCs w:val="22"/>
        </w:rPr>
        <w:t>Intervenție POR</w:t>
      </w:r>
      <w:r>
        <w:rPr>
          <w:rFonts w:ascii="Trebuchet MS" w:hAnsi="Trebuchet MS"/>
          <w:sz w:val="22"/>
          <w:szCs w:val="22"/>
        </w:rPr>
        <w:t xml:space="preserve"> – Reabilitarea spațiului în care se vor derula serviciile de ocupare și calificare</w:t>
      </w:r>
    </w:p>
    <w:p>
      <w:pPr>
        <w:pStyle w:val="ListParagraph"/>
        <w:spacing w:after="120" w:line="240" w:lineRule="auto"/>
        <w:ind w:left="360"/>
        <w:jc w:val="both"/>
        <w:rPr>
          <w:rFonts w:ascii="Trebuchet MS" w:hAnsi="Trebuchet MS"/>
          <w:sz w:val="22"/>
          <w:szCs w:val="22"/>
        </w:rPr>
      </w:pPr>
      <w:r>
        <w:rPr>
          <w:rFonts w:ascii="Trebuchet MS" w:hAnsi="Trebuchet MS"/>
          <w:b/>
          <w:sz w:val="22"/>
          <w:szCs w:val="22"/>
        </w:rPr>
        <w:t>Intervenție POR</w:t>
      </w:r>
      <w:r>
        <w:rPr>
          <w:rFonts w:ascii="Trebuchet MS" w:hAnsi="Trebuchet MS"/>
          <w:sz w:val="22"/>
          <w:szCs w:val="22"/>
        </w:rPr>
        <w:t xml:space="preserve"> – Reabilitare Centru Comunitar Integrat</w:t>
      </w:r>
    </w:p>
    <w:p>
      <w:pPr>
        <w:pStyle w:val="ListParagraph"/>
        <w:spacing w:after="120" w:line="240" w:lineRule="auto"/>
        <w:ind w:left="360"/>
        <w:jc w:val="both"/>
        <w:rPr>
          <w:rFonts w:ascii="Trebuchet MS" w:hAnsi="Trebuchet MS" w:cs="Calibri"/>
          <w:b/>
          <w:sz w:val="22"/>
          <w:szCs w:val="22"/>
          <w:lang w:val="ro-RO"/>
        </w:rPr>
      </w:pPr>
      <w:r>
        <w:rPr>
          <w:rFonts w:ascii="Trebuchet MS" w:hAnsi="Trebuchet MS"/>
          <w:b/>
          <w:sz w:val="22"/>
          <w:szCs w:val="22"/>
        </w:rPr>
        <w:t>Intervenție POR</w:t>
      </w:r>
      <w:r>
        <w:rPr>
          <w:rFonts w:ascii="Trebuchet MS" w:hAnsi="Trebuchet MS"/>
          <w:sz w:val="22"/>
          <w:szCs w:val="22"/>
        </w:rPr>
        <w:t xml:space="preserve"> – Amenajari ale spatiului urban degradat, al comunitatii defavorizate – modernizare cladire pentru a gazdui activitati social-comunitare, respectiv magazin social</w:t>
      </w:r>
    </w:p>
    <w:p>
      <w:pPr>
        <w:spacing w:line="240" w:lineRule="auto"/>
        <w:rPr>
          <w:rFonts w:ascii="Trebuchet MS" w:hAnsi="Trebuchet MS"/>
        </w:rPr>
      </w:pPr>
    </w:p>
    <w:p>
      <w:pPr>
        <w:spacing w:line="240" w:lineRule="auto"/>
        <w:rPr>
          <w:rFonts w:ascii="Trebuchet MS" w:hAnsi="Trebuchet MS"/>
        </w:rPr>
      </w:pPr>
    </w:p>
    <w:tbl>
      <w:tblPr>
        <w:tblW w:w="9187" w:type="dxa"/>
        <w:jc w:val="center"/>
        <w:tblLook w:val="04A0" w:firstRow="1" w:lastRow="0" w:firstColumn="1" w:lastColumn="0" w:noHBand="0" w:noVBand="1"/>
      </w:tblPr>
      <w:tblGrid>
        <w:gridCol w:w="2835"/>
        <w:gridCol w:w="6325"/>
        <w:gridCol w:w="27"/>
      </w:tblGrid>
      <w:tr>
        <w:trPr>
          <w:trHeight w:val="399"/>
          <w:jc w:val="center"/>
        </w:trPr>
        <w:tc>
          <w:tcPr>
            <w:tcW w:w="9187" w:type="dxa"/>
            <w:gridSpan w:val="3"/>
            <w:shd w:val="clear" w:color="auto" w:fill="B8CCE4" w:themeFill="accent1" w:themeFillTint="66"/>
            <w:vAlign w:val="center"/>
          </w:tcPr>
          <w:p>
            <w:pPr>
              <w:spacing w:line="240" w:lineRule="auto"/>
              <w:jc w:val="center"/>
              <w:rPr>
                <w:rFonts w:ascii="Trebuchet MS" w:hAnsi="Trebuchet MS"/>
                <w:b/>
                <w:sz w:val="24"/>
              </w:rPr>
            </w:pPr>
          </w:p>
          <w:p>
            <w:pPr>
              <w:spacing w:line="240" w:lineRule="auto"/>
              <w:jc w:val="center"/>
              <w:rPr>
                <w:rFonts w:ascii="Trebuchet MS" w:hAnsi="Trebuchet MS"/>
                <w:b/>
                <w:sz w:val="24"/>
              </w:rPr>
            </w:pPr>
            <w:r>
              <w:rPr>
                <w:rFonts w:ascii="Trebuchet MS" w:hAnsi="Trebuchet MS"/>
                <w:b/>
                <w:sz w:val="24"/>
              </w:rPr>
              <w:t>Fișa intervenției #5 – Intervenție POR – Amenajare spații recreere în ZUM Centrul Vechi și ZUM Parcul Tineretului</w:t>
            </w:r>
          </w:p>
          <w:p>
            <w:pPr>
              <w:spacing w:line="240" w:lineRule="auto"/>
              <w:jc w:val="center"/>
              <w:rPr>
                <w:rFonts w:ascii="Trebuchet MS" w:hAnsi="Trebuchet MS"/>
                <w:b/>
                <w:sz w:val="24"/>
              </w:rPr>
            </w:pP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Regiune de dezvoltare</w:t>
            </w:r>
          </w:p>
          <w:p>
            <w:pPr>
              <w:spacing w:line="240" w:lineRule="auto"/>
              <w:rPr>
                <w:rFonts w:ascii="Trebuchet MS" w:hAnsi="Trebuchet MS"/>
                <w:b/>
                <w:sz w:val="24"/>
              </w:rPr>
            </w:pPr>
            <w:r>
              <w:rPr>
                <w:rFonts w:ascii="Trebuchet MS" w:hAnsi="Trebuchet MS"/>
                <w:b/>
                <w:sz w:val="24"/>
              </w:rPr>
              <w:t>Județ</w:t>
            </w:r>
          </w:p>
          <w:p>
            <w:pPr>
              <w:spacing w:line="240" w:lineRule="auto"/>
              <w:rPr>
                <w:rFonts w:ascii="Trebuchet MS" w:hAnsi="Trebuchet MS"/>
                <w:b/>
                <w:sz w:val="24"/>
              </w:rPr>
            </w:pPr>
            <w:r>
              <w:rPr>
                <w:rFonts w:ascii="Trebuchet MS" w:hAnsi="Trebuchet MS"/>
                <w:b/>
                <w:sz w:val="24"/>
              </w:rPr>
              <w:t>Oraș/municipiu</w:t>
            </w:r>
          </w:p>
        </w:tc>
        <w:tc>
          <w:tcPr>
            <w:tcW w:w="6325" w:type="dxa"/>
            <w:vAlign w:val="center"/>
          </w:tcPr>
          <w:p>
            <w:pPr>
              <w:spacing w:line="240" w:lineRule="auto"/>
              <w:rPr>
                <w:rFonts w:ascii="Trebuchet MS" w:hAnsi="Trebuchet MS"/>
                <w:sz w:val="24"/>
              </w:rPr>
            </w:pPr>
            <w:r>
              <w:rPr>
                <w:rFonts w:ascii="Trebuchet MS" w:hAnsi="Trebuchet MS"/>
                <w:sz w:val="24"/>
              </w:rPr>
              <w:t>Nord-Est</w:t>
            </w:r>
          </w:p>
          <w:p>
            <w:pPr>
              <w:spacing w:line="240" w:lineRule="auto"/>
              <w:rPr>
                <w:rFonts w:ascii="Trebuchet MS" w:hAnsi="Trebuchet MS"/>
                <w:sz w:val="24"/>
              </w:rPr>
            </w:pPr>
            <w:r>
              <w:rPr>
                <w:rFonts w:ascii="Trebuchet MS" w:hAnsi="Trebuchet MS"/>
                <w:sz w:val="24"/>
              </w:rPr>
              <w:t>Botoșani</w:t>
            </w:r>
          </w:p>
          <w:p>
            <w:pPr>
              <w:spacing w:line="240" w:lineRule="auto"/>
              <w:rPr>
                <w:rFonts w:ascii="Trebuchet MS" w:hAnsi="Trebuchet MS"/>
                <w:sz w:val="24"/>
              </w:rPr>
            </w:pPr>
            <w:r>
              <w:rPr>
                <w:rFonts w:ascii="Trebuchet MS" w:hAnsi="Trebuchet MS"/>
                <w:sz w:val="24"/>
              </w:rPr>
              <w:t>Botoșani</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Nume GAL</w:t>
            </w:r>
          </w:p>
        </w:tc>
        <w:tc>
          <w:tcPr>
            <w:tcW w:w="6325" w:type="dxa"/>
            <w:vAlign w:val="center"/>
          </w:tcPr>
          <w:p>
            <w:pPr>
              <w:spacing w:line="240" w:lineRule="auto"/>
              <w:rPr>
                <w:rFonts w:ascii="Trebuchet MS" w:hAnsi="Trebuchet MS"/>
                <w:sz w:val="24"/>
              </w:rPr>
            </w:pPr>
            <w:r>
              <w:rPr>
                <w:rFonts w:ascii="Trebuchet MS" w:hAnsi="Trebuchet MS"/>
                <w:sz w:val="24"/>
              </w:rPr>
              <w:t>GAL „Botoșani pentru viitor”</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Date de contact GAL</w:t>
            </w:r>
          </w:p>
        </w:tc>
        <w:tc>
          <w:tcPr>
            <w:tcW w:w="6325" w:type="dxa"/>
            <w:vAlign w:val="center"/>
          </w:tcPr>
          <w:p>
            <w:pPr>
              <w:spacing w:line="240" w:lineRule="auto"/>
              <w:rPr>
                <w:rFonts w:ascii="Trebuchet MS" w:hAnsi="Trebuchet MS"/>
                <w:sz w:val="24"/>
              </w:rPr>
            </w:pPr>
            <w:r>
              <w:rPr>
                <w:rFonts w:ascii="Trebuchet MS" w:hAnsi="Trebuchet MS"/>
                <w:sz w:val="24"/>
              </w:rPr>
              <w:t>Strada Poștei, nr. 9, etaj 2, camera 214, Botoșani</w:t>
            </w:r>
          </w:p>
          <w:p>
            <w:pPr>
              <w:spacing w:line="240" w:lineRule="auto"/>
              <w:rPr>
                <w:rFonts w:ascii="Trebuchet MS" w:hAnsi="Trebuchet MS"/>
                <w:sz w:val="24"/>
              </w:rPr>
            </w:pPr>
            <w:r>
              <w:rPr>
                <w:rFonts w:ascii="Trebuchet MS" w:hAnsi="Trebuchet MS"/>
                <w:sz w:val="24"/>
              </w:rPr>
              <w:t>galbotosani@gmail.com</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Teritoriul vizat de SDL</w:t>
            </w:r>
          </w:p>
        </w:tc>
        <w:tc>
          <w:tcPr>
            <w:tcW w:w="6325" w:type="dxa"/>
            <w:vAlign w:val="center"/>
          </w:tcPr>
          <w:p>
            <w:pPr>
              <w:spacing w:line="240" w:lineRule="auto"/>
              <w:rPr>
                <w:rFonts w:ascii="Trebuchet MS" w:hAnsi="Trebuchet MS"/>
                <w:sz w:val="24"/>
              </w:rPr>
            </w:pPr>
            <w:r>
              <w:rPr>
                <w:rFonts w:ascii="Trebuchet MS" w:hAnsi="Trebuchet MS"/>
                <w:sz w:val="24"/>
              </w:rPr>
              <w:t>ZUM Cartierul Tineretului</w:t>
            </w:r>
          </w:p>
          <w:p>
            <w:pPr>
              <w:spacing w:line="240" w:lineRule="auto"/>
              <w:rPr>
                <w:rFonts w:ascii="Trebuchet MS" w:hAnsi="Trebuchet MS"/>
                <w:sz w:val="24"/>
              </w:rPr>
            </w:pPr>
            <w:r>
              <w:rPr>
                <w:rFonts w:ascii="Trebuchet MS" w:hAnsi="Trebuchet MS"/>
                <w:sz w:val="24"/>
              </w:rPr>
              <w:lastRenderedPageBreak/>
              <w:t>ZUM Centrul Vechi</w:t>
            </w:r>
          </w:p>
          <w:p>
            <w:pPr>
              <w:spacing w:line="240" w:lineRule="auto"/>
              <w:rPr>
                <w:rFonts w:ascii="Trebuchet MS" w:hAnsi="Trebuchet MS"/>
                <w:sz w:val="24"/>
              </w:rPr>
            </w:pPr>
            <w:r>
              <w:rPr>
                <w:rFonts w:ascii="Trebuchet MS" w:hAnsi="Trebuchet MS"/>
                <w:sz w:val="24"/>
              </w:rPr>
              <w:t xml:space="preserve">ZUF – Nord – Strada Tomis, Str. Zimbrului, Str. Împărat Traian; </w:t>
            </w:r>
          </w:p>
          <w:p>
            <w:pPr>
              <w:spacing w:line="240" w:lineRule="auto"/>
              <w:rPr>
                <w:rFonts w:ascii="Trebuchet MS" w:hAnsi="Trebuchet MS"/>
                <w:sz w:val="24"/>
              </w:rPr>
            </w:pPr>
            <w:r>
              <w:rPr>
                <w:rFonts w:ascii="Trebuchet MS" w:hAnsi="Trebuchet MS"/>
                <w:sz w:val="24"/>
              </w:rPr>
              <w:t>Est – Str. Săvenilor nr. 33-59, Str. Tudor Vladimirescu nr. 12-96, Str. I.C. Brătianu nr. 40-52;</w:t>
            </w:r>
          </w:p>
          <w:p>
            <w:pPr>
              <w:spacing w:line="240" w:lineRule="auto"/>
              <w:rPr>
                <w:rFonts w:ascii="Trebuchet MS" w:hAnsi="Trebuchet MS"/>
                <w:sz w:val="24"/>
              </w:rPr>
            </w:pPr>
            <w:r>
              <w:rPr>
                <w:rFonts w:ascii="Trebuchet MS" w:hAnsi="Trebuchet MS"/>
                <w:sz w:val="24"/>
              </w:rPr>
              <w:t>Sud – Str. Petru Rareș, Str. Victoriei, Str. 1 Decembrie;</w:t>
            </w:r>
          </w:p>
          <w:p>
            <w:pPr>
              <w:spacing w:line="240" w:lineRule="auto"/>
              <w:rPr>
                <w:rFonts w:ascii="Trebuchet MS" w:hAnsi="Trebuchet MS"/>
                <w:sz w:val="24"/>
              </w:rPr>
            </w:pPr>
            <w:r>
              <w:rPr>
                <w:rFonts w:ascii="Trebuchet MS" w:hAnsi="Trebuchet MS"/>
                <w:sz w:val="24"/>
              </w:rPr>
              <w:t>Vest – Str. Octav Onicescu nr. 62-70, Str. Împărat Traian nr. 21, Str. Poporului nr. 1, Str. Libertății nr. 6 și 11-27, Str. Mușat Vodă nr. 25 și 38</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lastRenderedPageBreak/>
              <w:t>Titlul intervenției</w:t>
            </w:r>
          </w:p>
        </w:tc>
        <w:tc>
          <w:tcPr>
            <w:tcW w:w="6325" w:type="dxa"/>
            <w:vAlign w:val="center"/>
          </w:tcPr>
          <w:p>
            <w:pPr>
              <w:spacing w:line="240" w:lineRule="auto"/>
              <w:rPr>
                <w:rFonts w:ascii="Trebuchet MS" w:hAnsi="Trebuchet MS"/>
                <w:sz w:val="24"/>
              </w:rPr>
            </w:pPr>
            <w:r>
              <w:rPr>
                <w:rFonts w:ascii="Trebuchet MS" w:hAnsi="Trebuchet MS"/>
                <w:sz w:val="24"/>
              </w:rPr>
              <w:t>Amenajare spații recreere în ZUM Centrul Vechi și ZUM Parcul Tineretului</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Obiectivul specific SDL la atingerea căruia contribuie intervenția</w:t>
            </w:r>
          </w:p>
        </w:tc>
        <w:tc>
          <w:tcPr>
            <w:tcW w:w="6325" w:type="dxa"/>
            <w:vAlign w:val="center"/>
          </w:tcPr>
          <w:p>
            <w:pPr>
              <w:spacing w:line="240" w:lineRule="auto"/>
              <w:rPr>
                <w:rFonts w:ascii="Trebuchet MS" w:hAnsi="Trebuchet MS"/>
                <w:sz w:val="24"/>
              </w:rPr>
            </w:pPr>
            <w:r>
              <w:rPr>
                <w:rFonts w:ascii="Trebuchet MS" w:hAnsi="Trebuchet MS"/>
                <w:sz w:val="24"/>
              </w:rPr>
              <w:t>OS 2 – Creșterea gradului de siguranță al cetățenilor și îmbunătățirea aspectului peisagistic al teritoriului SDL prin reamenajarea spațiilor publice urbane în 3 ani</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Măsura din Planul de acțiune vizată prin intervenție</w:t>
            </w:r>
          </w:p>
        </w:tc>
        <w:tc>
          <w:tcPr>
            <w:tcW w:w="6325" w:type="dxa"/>
            <w:vAlign w:val="center"/>
          </w:tcPr>
          <w:p>
            <w:pPr>
              <w:spacing w:line="240" w:lineRule="auto"/>
              <w:rPr>
                <w:rFonts w:ascii="Trebuchet MS" w:hAnsi="Trebuchet MS"/>
                <w:sz w:val="24"/>
              </w:rPr>
            </w:pPr>
            <w:r>
              <w:rPr>
                <w:rFonts w:ascii="Trebuchet MS" w:hAnsi="Trebuchet MS"/>
                <w:sz w:val="24"/>
              </w:rPr>
              <w:t>Măsura 2 – Creșterea numărului de spații de recreere pentru locuitorii din zona SDL</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Justificarea intervenției</w:t>
            </w:r>
          </w:p>
        </w:tc>
        <w:tc>
          <w:tcPr>
            <w:tcW w:w="6325" w:type="dxa"/>
            <w:vAlign w:val="center"/>
          </w:tcPr>
          <w:p>
            <w:pPr>
              <w:spacing w:line="240" w:lineRule="auto"/>
              <w:rPr>
                <w:rFonts w:ascii="Trebuchet MS" w:hAnsi="Trebuchet MS"/>
                <w:sz w:val="24"/>
              </w:rPr>
            </w:pPr>
            <w:r>
              <w:rPr>
                <w:rFonts w:ascii="Trebuchet MS" w:hAnsi="Trebuchet MS"/>
                <w:sz w:val="24"/>
              </w:rPr>
              <w:t>Lipsa spațiilor verzi și a terenurilor de joacă</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Comunitatea marginalizată din teritoriu</w:t>
            </w:r>
          </w:p>
        </w:tc>
        <w:tc>
          <w:tcPr>
            <w:tcW w:w="6325" w:type="dxa"/>
            <w:vAlign w:val="center"/>
          </w:tcPr>
          <w:p>
            <w:pPr>
              <w:spacing w:line="240" w:lineRule="auto"/>
              <w:rPr>
                <w:rFonts w:ascii="Trebuchet MS" w:hAnsi="Trebuchet MS"/>
                <w:sz w:val="24"/>
              </w:rPr>
            </w:pPr>
            <w:r>
              <w:rPr>
                <w:rFonts w:ascii="Trebuchet MS" w:hAnsi="Trebuchet MS"/>
                <w:sz w:val="24"/>
              </w:rPr>
              <w:t>Zone marginalizate roma</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Grupuri țintă vizate (persoane aflate în risc de sărăcie și excluziune socială)</w:t>
            </w:r>
          </w:p>
        </w:tc>
        <w:tc>
          <w:tcPr>
            <w:tcW w:w="6325" w:type="dxa"/>
            <w:vAlign w:val="center"/>
          </w:tcPr>
          <w:p>
            <w:pPr>
              <w:spacing w:line="240" w:lineRule="auto"/>
              <w:rPr>
                <w:rFonts w:ascii="Trebuchet MS" w:hAnsi="Trebuchet MS"/>
                <w:sz w:val="24"/>
              </w:rPr>
            </w:pPr>
            <w:r>
              <w:rPr>
                <w:rFonts w:ascii="Trebuchet MS" w:hAnsi="Trebuchet MS"/>
                <w:sz w:val="24"/>
              </w:rPr>
              <w:t>1495 de locuitori ai celor 2 ZUM-uri si ai teritoiului SDL</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Durata estimată a intervenției</w:t>
            </w:r>
          </w:p>
        </w:tc>
        <w:tc>
          <w:tcPr>
            <w:tcW w:w="6325" w:type="dxa"/>
            <w:vAlign w:val="center"/>
          </w:tcPr>
          <w:p>
            <w:pPr>
              <w:spacing w:line="240" w:lineRule="auto"/>
              <w:rPr>
                <w:rFonts w:ascii="Trebuchet MS" w:hAnsi="Trebuchet MS"/>
                <w:sz w:val="24"/>
              </w:rPr>
            </w:pPr>
            <w:r>
              <w:rPr>
                <w:rFonts w:ascii="Trebuchet MS" w:hAnsi="Trebuchet MS"/>
                <w:sz w:val="24"/>
              </w:rPr>
              <w:t>12 luni</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Buget estimativ</w:t>
            </w:r>
          </w:p>
        </w:tc>
        <w:tc>
          <w:tcPr>
            <w:tcW w:w="6325" w:type="dxa"/>
            <w:vAlign w:val="center"/>
          </w:tcPr>
          <w:p>
            <w:pPr>
              <w:spacing w:line="240" w:lineRule="auto"/>
              <w:rPr>
                <w:rFonts w:ascii="Trebuchet MS" w:hAnsi="Trebuchet MS"/>
                <w:sz w:val="24"/>
              </w:rPr>
            </w:pPr>
            <w:r>
              <w:rPr>
                <w:rFonts w:ascii="Trebuchet MS" w:hAnsi="Trebuchet MS"/>
                <w:sz w:val="24"/>
              </w:rPr>
              <w:t>15000 Euro</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Surse de finanțare</w:t>
            </w:r>
          </w:p>
        </w:tc>
        <w:tc>
          <w:tcPr>
            <w:tcW w:w="6325" w:type="dxa"/>
            <w:vAlign w:val="center"/>
          </w:tcPr>
          <w:p>
            <w:pPr>
              <w:spacing w:line="240" w:lineRule="auto"/>
              <w:rPr>
                <w:rFonts w:ascii="Trebuchet MS" w:hAnsi="Trebuchet MS"/>
                <w:sz w:val="24"/>
              </w:rPr>
            </w:pPr>
            <w:r>
              <w:rPr>
                <w:rFonts w:ascii="Trebuchet MS" w:hAnsi="Trebuchet MS"/>
                <w:sz w:val="24"/>
              </w:rPr>
              <w:t>POR</w:t>
            </w:r>
          </w:p>
        </w:tc>
      </w:tr>
      <w:tr>
        <w:trPr>
          <w:gridAfter w:val="1"/>
          <w:wAfter w:w="27" w:type="dxa"/>
          <w:trHeight w:val="399"/>
          <w:jc w:val="center"/>
        </w:trPr>
        <w:tc>
          <w:tcPr>
            <w:tcW w:w="2835" w:type="dxa"/>
            <w:vAlign w:val="center"/>
          </w:tcPr>
          <w:p>
            <w:pPr>
              <w:spacing w:line="240" w:lineRule="auto"/>
              <w:rPr>
                <w:rFonts w:ascii="Trebuchet MS" w:hAnsi="Trebuchet MS"/>
                <w:b/>
                <w:sz w:val="24"/>
              </w:rPr>
            </w:pPr>
            <w:r>
              <w:rPr>
                <w:rFonts w:ascii="Trebuchet MS" w:hAnsi="Trebuchet MS"/>
                <w:b/>
                <w:sz w:val="24"/>
              </w:rPr>
              <w:t xml:space="preserve">Sustenabilitatea </w:t>
            </w:r>
            <w:r>
              <w:rPr>
                <w:rFonts w:ascii="Trebuchet MS" w:hAnsi="Trebuchet MS"/>
                <w:b/>
                <w:sz w:val="24"/>
              </w:rPr>
              <w:lastRenderedPageBreak/>
              <w:t>intervenției după încheierea perioadei de finanțare DLRC</w:t>
            </w:r>
          </w:p>
        </w:tc>
        <w:tc>
          <w:tcPr>
            <w:tcW w:w="6325" w:type="dxa"/>
            <w:vAlign w:val="center"/>
          </w:tcPr>
          <w:p>
            <w:pPr>
              <w:spacing w:line="240" w:lineRule="auto"/>
              <w:rPr>
                <w:rFonts w:ascii="Trebuchet MS" w:hAnsi="Trebuchet MS"/>
                <w:sz w:val="24"/>
              </w:rPr>
            </w:pPr>
            <w:r>
              <w:rPr>
                <w:rFonts w:ascii="Trebuchet MS" w:hAnsi="Trebuchet MS"/>
                <w:sz w:val="24"/>
              </w:rPr>
              <w:lastRenderedPageBreak/>
              <w:t xml:space="preserve">Se va asigura sustenabilitatea intervenției din resursele </w:t>
            </w:r>
            <w:r>
              <w:rPr>
                <w:rFonts w:ascii="Trebuchet MS" w:hAnsi="Trebuchet MS"/>
                <w:sz w:val="24"/>
              </w:rPr>
              <w:lastRenderedPageBreak/>
              <w:t>proprii ale Consiliului Local, prin Serviciul Edilitare pentru cel puțin 1 an.</w:t>
            </w:r>
          </w:p>
        </w:tc>
      </w:tr>
    </w:tbl>
    <w:p>
      <w:pPr>
        <w:spacing w:line="240" w:lineRule="auto"/>
        <w:rPr>
          <w:rFonts w:ascii="Trebuchet MS" w:hAnsi="Trebuchet MS"/>
        </w:rPr>
      </w:pPr>
    </w:p>
    <w:tbl>
      <w:tblPr>
        <w:tblW w:w="9626" w:type="dxa"/>
        <w:jc w:val="center"/>
        <w:tblLook w:val="04A0" w:firstRow="1" w:lastRow="0" w:firstColumn="1" w:lastColumn="0" w:noHBand="0" w:noVBand="1"/>
      </w:tblPr>
      <w:tblGrid>
        <w:gridCol w:w="497"/>
        <w:gridCol w:w="2825"/>
        <w:gridCol w:w="6304"/>
      </w:tblGrid>
      <w:tr>
        <w:trPr>
          <w:trHeight w:val="780"/>
          <w:jc w:val="center"/>
        </w:trPr>
        <w:tc>
          <w:tcPr>
            <w:tcW w:w="9626" w:type="dxa"/>
            <w:gridSpan w:val="3"/>
            <w:shd w:val="clear" w:color="auto" w:fill="B8CCE4" w:themeFill="accent1" w:themeFillTint="66"/>
            <w:vAlign w:val="center"/>
          </w:tcPr>
          <w:p>
            <w:pPr>
              <w:spacing w:line="240" w:lineRule="auto"/>
              <w:jc w:val="center"/>
              <w:rPr>
                <w:rFonts w:ascii="Trebuchet MS" w:hAnsi="Trebuchet MS"/>
                <w:b/>
                <w:sz w:val="24"/>
              </w:rPr>
            </w:pPr>
            <w:r>
              <w:rPr>
                <w:rFonts w:ascii="Trebuchet MS" w:hAnsi="Trebuchet MS"/>
                <w:b/>
                <w:sz w:val="24"/>
              </w:rPr>
              <w:t>Fișa intervenției #6 – Intervenție POR – Amenajare peisagistică a teritoriului SDL, inclusiv a sensurilor giratorii</w:t>
            </w:r>
          </w:p>
        </w:tc>
      </w:tr>
      <w:tr>
        <w:trPr>
          <w:trHeight w:val="780"/>
          <w:jc w:val="center"/>
        </w:trPr>
        <w:tc>
          <w:tcPr>
            <w:tcW w:w="497" w:type="dxa"/>
            <w:vAlign w:val="center"/>
          </w:tcPr>
          <w:p>
            <w:pPr>
              <w:spacing w:line="240" w:lineRule="auto"/>
              <w:ind w:left="18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Regiune de dezvoltare</w:t>
            </w:r>
          </w:p>
          <w:p>
            <w:pPr>
              <w:spacing w:line="240" w:lineRule="auto"/>
              <w:rPr>
                <w:rFonts w:ascii="Trebuchet MS" w:hAnsi="Trebuchet MS"/>
                <w:b/>
                <w:sz w:val="24"/>
              </w:rPr>
            </w:pPr>
            <w:r>
              <w:rPr>
                <w:rFonts w:ascii="Trebuchet MS" w:hAnsi="Trebuchet MS"/>
                <w:b/>
                <w:sz w:val="24"/>
              </w:rPr>
              <w:t>Județ</w:t>
            </w:r>
          </w:p>
          <w:p>
            <w:pPr>
              <w:spacing w:line="240" w:lineRule="auto"/>
              <w:rPr>
                <w:rFonts w:ascii="Trebuchet MS" w:hAnsi="Trebuchet MS"/>
                <w:b/>
                <w:sz w:val="24"/>
              </w:rPr>
            </w:pPr>
            <w:r>
              <w:rPr>
                <w:rFonts w:ascii="Trebuchet MS" w:hAnsi="Trebuchet MS"/>
                <w:b/>
                <w:sz w:val="24"/>
              </w:rPr>
              <w:t>Oraș/municipiu</w:t>
            </w:r>
          </w:p>
        </w:tc>
        <w:tc>
          <w:tcPr>
            <w:tcW w:w="6304" w:type="dxa"/>
            <w:vAlign w:val="center"/>
          </w:tcPr>
          <w:p>
            <w:pPr>
              <w:spacing w:line="240" w:lineRule="auto"/>
              <w:rPr>
                <w:rFonts w:ascii="Trebuchet MS" w:hAnsi="Trebuchet MS"/>
                <w:sz w:val="24"/>
              </w:rPr>
            </w:pPr>
            <w:r>
              <w:rPr>
                <w:rFonts w:ascii="Trebuchet MS" w:hAnsi="Trebuchet MS"/>
                <w:sz w:val="24"/>
              </w:rPr>
              <w:t>Nord-Est</w:t>
            </w:r>
          </w:p>
          <w:p>
            <w:pPr>
              <w:spacing w:line="240" w:lineRule="auto"/>
              <w:rPr>
                <w:rFonts w:ascii="Trebuchet MS" w:hAnsi="Trebuchet MS"/>
                <w:sz w:val="24"/>
              </w:rPr>
            </w:pPr>
            <w:r>
              <w:rPr>
                <w:rFonts w:ascii="Trebuchet MS" w:hAnsi="Trebuchet MS"/>
                <w:sz w:val="24"/>
              </w:rPr>
              <w:t>Botoșani</w:t>
            </w:r>
          </w:p>
          <w:p>
            <w:pPr>
              <w:spacing w:line="240" w:lineRule="auto"/>
              <w:rPr>
                <w:rFonts w:ascii="Trebuchet MS" w:hAnsi="Trebuchet MS"/>
                <w:sz w:val="24"/>
              </w:rPr>
            </w:pPr>
            <w:r>
              <w:rPr>
                <w:rFonts w:ascii="Trebuchet MS" w:hAnsi="Trebuchet MS"/>
                <w:sz w:val="24"/>
              </w:rPr>
              <w:t>Botoșani</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Nume GAL</w:t>
            </w:r>
          </w:p>
        </w:tc>
        <w:tc>
          <w:tcPr>
            <w:tcW w:w="6304" w:type="dxa"/>
            <w:vAlign w:val="center"/>
          </w:tcPr>
          <w:p>
            <w:pPr>
              <w:spacing w:line="240" w:lineRule="auto"/>
              <w:rPr>
                <w:rFonts w:ascii="Trebuchet MS" w:hAnsi="Trebuchet MS"/>
                <w:sz w:val="24"/>
              </w:rPr>
            </w:pPr>
            <w:r>
              <w:rPr>
                <w:rFonts w:ascii="Trebuchet MS" w:hAnsi="Trebuchet MS"/>
                <w:sz w:val="24"/>
              </w:rPr>
              <w:t>GAL „Botoșani pentru viitor”</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Date de contact GAL</w:t>
            </w:r>
          </w:p>
        </w:tc>
        <w:tc>
          <w:tcPr>
            <w:tcW w:w="6304" w:type="dxa"/>
            <w:vAlign w:val="center"/>
          </w:tcPr>
          <w:p>
            <w:pPr>
              <w:spacing w:line="240" w:lineRule="auto"/>
              <w:rPr>
                <w:rFonts w:ascii="Trebuchet MS" w:hAnsi="Trebuchet MS"/>
                <w:sz w:val="24"/>
              </w:rPr>
            </w:pPr>
            <w:r>
              <w:rPr>
                <w:rFonts w:ascii="Trebuchet MS" w:hAnsi="Trebuchet MS"/>
                <w:sz w:val="24"/>
              </w:rPr>
              <w:t>Strada Poștei, nr. 9, etaj 2, camera 214, Botoșani</w:t>
            </w:r>
          </w:p>
          <w:p>
            <w:pPr>
              <w:spacing w:line="240" w:lineRule="auto"/>
              <w:rPr>
                <w:rFonts w:ascii="Trebuchet MS" w:hAnsi="Trebuchet MS"/>
                <w:sz w:val="24"/>
              </w:rPr>
            </w:pPr>
            <w:r>
              <w:rPr>
                <w:rFonts w:ascii="Trebuchet MS" w:hAnsi="Trebuchet MS"/>
                <w:sz w:val="24"/>
              </w:rPr>
              <w:t>galbotosani@gmail.com</w:t>
            </w:r>
          </w:p>
        </w:tc>
      </w:tr>
      <w:tr>
        <w:trPr>
          <w:trHeight w:val="169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Teritoriul vizat de SDL</w:t>
            </w:r>
          </w:p>
        </w:tc>
        <w:tc>
          <w:tcPr>
            <w:tcW w:w="6304" w:type="dxa"/>
            <w:vAlign w:val="center"/>
          </w:tcPr>
          <w:p>
            <w:pPr>
              <w:spacing w:line="240" w:lineRule="auto"/>
              <w:rPr>
                <w:rFonts w:ascii="Trebuchet MS" w:hAnsi="Trebuchet MS"/>
                <w:sz w:val="24"/>
              </w:rPr>
            </w:pPr>
            <w:r>
              <w:rPr>
                <w:rFonts w:ascii="Trebuchet MS" w:hAnsi="Trebuchet MS"/>
                <w:sz w:val="24"/>
              </w:rPr>
              <w:t>ZUM Cartierul Tineretului</w:t>
            </w:r>
          </w:p>
          <w:p>
            <w:pPr>
              <w:spacing w:line="240" w:lineRule="auto"/>
              <w:rPr>
                <w:rFonts w:ascii="Trebuchet MS" w:hAnsi="Trebuchet MS"/>
                <w:sz w:val="24"/>
              </w:rPr>
            </w:pPr>
            <w:r>
              <w:rPr>
                <w:rFonts w:ascii="Trebuchet MS" w:hAnsi="Trebuchet MS"/>
                <w:sz w:val="24"/>
              </w:rPr>
              <w:t>ZUM Centrul Vechi</w:t>
            </w:r>
          </w:p>
          <w:p>
            <w:pPr>
              <w:spacing w:line="240" w:lineRule="auto"/>
              <w:rPr>
                <w:rFonts w:ascii="Trebuchet MS" w:hAnsi="Trebuchet MS"/>
                <w:sz w:val="24"/>
              </w:rPr>
            </w:pPr>
            <w:r>
              <w:rPr>
                <w:rFonts w:ascii="Trebuchet MS" w:hAnsi="Trebuchet MS"/>
                <w:sz w:val="24"/>
              </w:rPr>
              <w:t xml:space="preserve">ZUF – Nord – Strada Tomis, Str. Zimbrului, Str. Împărat Traian; </w:t>
            </w:r>
          </w:p>
          <w:p>
            <w:pPr>
              <w:spacing w:line="240" w:lineRule="auto"/>
              <w:rPr>
                <w:rFonts w:ascii="Trebuchet MS" w:hAnsi="Trebuchet MS"/>
                <w:sz w:val="24"/>
              </w:rPr>
            </w:pPr>
            <w:r>
              <w:rPr>
                <w:rFonts w:ascii="Trebuchet MS" w:hAnsi="Trebuchet MS"/>
                <w:sz w:val="24"/>
              </w:rPr>
              <w:t>Est – Str. Săvenilor nr. 33-59, Str. Tudor Vladimirescu nr. 12-96, Str. I.C. Brătianu nr. 40-52;</w:t>
            </w:r>
          </w:p>
          <w:p>
            <w:pPr>
              <w:spacing w:line="240" w:lineRule="auto"/>
              <w:rPr>
                <w:rFonts w:ascii="Trebuchet MS" w:hAnsi="Trebuchet MS"/>
                <w:sz w:val="24"/>
              </w:rPr>
            </w:pPr>
            <w:r>
              <w:rPr>
                <w:rFonts w:ascii="Trebuchet MS" w:hAnsi="Trebuchet MS"/>
                <w:sz w:val="24"/>
              </w:rPr>
              <w:t>Sud – Str. Petru Rareș, Str. Victoriei, Str. 1 Decembrie;</w:t>
            </w:r>
          </w:p>
          <w:p>
            <w:pPr>
              <w:spacing w:line="240" w:lineRule="auto"/>
              <w:rPr>
                <w:rFonts w:ascii="Trebuchet MS" w:hAnsi="Trebuchet MS"/>
                <w:sz w:val="24"/>
              </w:rPr>
            </w:pPr>
            <w:r>
              <w:rPr>
                <w:rFonts w:ascii="Trebuchet MS" w:hAnsi="Trebuchet MS"/>
                <w:sz w:val="24"/>
              </w:rPr>
              <w:t>Vest – Str. Octav Onicescu nr. 62-70, Str. Împărat Traian nr. 21, Str. Poporului nr. 1, Str. Libertății nr. 6 și 11-27, Str. Mușat Vodă nr. 25 și 38</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Titlul intervenției</w:t>
            </w:r>
          </w:p>
        </w:tc>
        <w:tc>
          <w:tcPr>
            <w:tcW w:w="6304" w:type="dxa"/>
            <w:vAlign w:val="center"/>
          </w:tcPr>
          <w:p>
            <w:pPr>
              <w:spacing w:line="240" w:lineRule="auto"/>
              <w:rPr>
                <w:rFonts w:ascii="Trebuchet MS" w:hAnsi="Trebuchet MS"/>
                <w:sz w:val="24"/>
              </w:rPr>
            </w:pPr>
            <w:r>
              <w:rPr>
                <w:rFonts w:ascii="Trebuchet MS" w:hAnsi="Trebuchet MS"/>
                <w:sz w:val="24"/>
              </w:rPr>
              <w:t>Amenajare peisagistică a teritoriului SDL, inclusiv a sensurilor giratorii</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Obiectivul specific SDL la atingerea căruia contribuie intervenția</w:t>
            </w:r>
          </w:p>
        </w:tc>
        <w:tc>
          <w:tcPr>
            <w:tcW w:w="6304" w:type="dxa"/>
            <w:vAlign w:val="center"/>
          </w:tcPr>
          <w:p>
            <w:pPr>
              <w:spacing w:line="240" w:lineRule="auto"/>
              <w:rPr>
                <w:rFonts w:ascii="Trebuchet MS" w:hAnsi="Trebuchet MS"/>
                <w:sz w:val="24"/>
              </w:rPr>
            </w:pPr>
            <w:r>
              <w:rPr>
                <w:rFonts w:ascii="Trebuchet MS" w:hAnsi="Trebuchet MS"/>
                <w:sz w:val="24"/>
              </w:rPr>
              <w:t>OS 2 – Creșterea gradului de siguranță al cetățenilor și îmbunătățirea aspectului peisagistic al teritoriului SDL prin reamenajarea spațiilor publice urbane în 3 ani</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 xml:space="preserve">Măsura din Planul de acțiune vizată prin </w:t>
            </w:r>
            <w:r>
              <w:rPr>
                <w:rFonts w:ascii="Trebuchet MS" w:hAnsi="Trebuchet MS"/>
                <w:b/>
                <w:sz w:val="24"/>
              </w:rPr>
              <w:lastRenderedPageBreak/>
              <w:t>intervenție</w:t>
            </w:r>
          </w:p>
        </w:tc>
        <w:tc>
          <w:tcPr>
            <w:tcW w:w="6304" w:type="dxa"/>
            <w:vAlign w:val="center"/>
          </w:tcPr>
          <w:p>
            <w:pPr>
              <w:spacing w:line="240" w:lineRule="auto"/>
              <w:rPr>
                <w:rFonts w:ascii="Trebuchet MS" w:hAnsi="Trebuchet MS"/>
                <w:sz w:val="24"/>
              </w:rPr>
            </w:pPr>
            <w:r>
              <w:rPr>
                <w:rFonts w:ascii="Trebuchet MS" w:hAnsi="Trebuchet MS"/>
                <w:sz w:val="24"/>
              </w:rPr>
              <w:lastRenderedPageBreak/>
              <w:t>Măsura 3 – Realizarea amenajării peisagistice a teritoriului SDL, inclusiv a sensurilor giratorii</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Justificarea intervenției</w:t>
            </w:r>
          </w:p>
        </w:tc>
        <w:tc>
          <w:tcPr>
            <w:tcW w:w="6304" w:type="dxa"/>
            <w:vAlign w:val="center"/>
          </w:tcPr>
          <w:p>
            <w:pPr>
              <w:spacing w:line="240" w:lineRule="auto"/>
              <w:rPr>
                <w:rFonts w:ascii="Trebuchet MS" w:hAnsi="Trebuchet MS"/>
                <w:sz w:val="24"/>
              </w:rPr>
            </w:pPr>
            <w:r>
              <w:rPr>
                <w:rFonts w:ascii="Trebuchet MS" w:hAnsi="Trebuchet MS"/>
                <w:sz w:val="24"/>
              </w:rPr>
              <w:t>Lipsa spațiilor verzi și a zonelor amenajate</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Comunitatea marginalizată din teritoriu</w:t>
            </w:r>
          </w:p>
        </w:tc>
        <w:tc>
          <w:tcPr>
            <w:tcW w:w="6304" w:type="dxa"/>
            <w:vAlign w:val="center"/>
          </w:tcPr>
          <w:p>
            <w:pPr>
              <w:spacing w:line="240" w:lineRule="auto"/>
              <w:rPr>
                <w:rFonts w:ascii="Trebuchet MS" w:hAnsi="Trebuchet MS"/>
                <w:sz w:val="24"/>
              </w:rPr>
            </w:pPr>
            <w:r>
              <w:rPr>
                <w:rFonts w:ascii="Trebuchet MS" w:hAnsi="Trebuchet MS"/>
                <w:sz w:val="24"/>
              </w:rPr>
              <w:t>Zone roma și non roma</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Grupuri țintă vizate (persoane aflate în risc de sărăcie și excluziune socială)</w:t>
            </w:r>
          </w:p>
        </w:tc>
        <w:tc>
          <w:tcPr>
            <w:tcW w:w="6304" w:type="dxa"/>
            <w:vAlign w:val="center"/>
          </w:tcPr>
          <w:p>
            <w:pPr>
              <w:spacing w:line="240" w:lineRule="auto"/>
              <w:rPr>
                <w:rFonts w:ascii="Trebuchet MS" w:hAnsi="Trebuchet MS"/>
                <w:sz w:val="24"/>
              </w:rPr>
            </w:pPr>
            <w:r>
              <w:rPr>
                <w:rFonts w:ascii="Trebuchet MS" w:hAnsi="Trebuchet MS"/>
                <w:sz w:val="24"/>
              </w:rPr>
              <w:t>Locuitorii tritoriului SDL si ai Municipiului Botosani</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Durata estimată a intervenției</w:t>
            </w:r>
          </w:p>
        </w:tc>
        <w:tc>
          <w:tcPr>
            <w:tcW w:w="6304" w:type="dxa"/>
            <w:vAlign w:val="center"/>
          </w:tcPr>
          <w:p>
            <w:pPr>
              <w:spacing w:line="240" w:lineRule="auto"/>
              <w:rPr>
                <w:rFonts w:ascii="Trebuchet MS" w:hAnsi="Trebuchet MS"/>
                <w:sz w:val="24"/>
              </w:rPr>
            </w:pPr>
            <w:r>
              <w:rPr>
                <w:rFonts w:ascii="Trebuchet MS" w:hAnsi="Trebuchet MS"/>
                <w:sz w:val="24"/>
              </w:rPr>
              <w:t>36 luni</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Buget estimativ</w:t>
            </w:r>
          </w:p>
        </w:tc>
        <w:tc>
          <w:tcPr>
            <w:tcW w:w="6304" w:type="dxa"/>
            <w:vAlign w:val="center"/>
          </w:tcPr>
          <w:p>
            <w:pPr>
              <w:spacing w:line="240" w:lineRule="auto"/>
              <w:rPr>
                <w:rFonts w:ascii="Trebuchet MS" w:hAnsi="Trebuchet MS"/>
                <w:sz w:val="24"/>
              </w:rPr>
            </w:pPr>
            <w:r>
              <w:rPr>
                <w:rFonts w:ascii="Trebuchet MS" w:hAnsi="Trebuchet MS"/>
                <w:sz w:val="24"/>
              </w:rPr>
              <w:t>195000 Euro</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Surse de finanțare</w:t>
            </w:r>
          </w:p>
        </w:tc>
        <w:tc>
          <w:tcPr>
            <w:tcW w:w="6304" w:type="dxa"/>
            <w:vAlign w:val="center"/>
          </w:tcPr>
          <w:p>
            <w:pPr>
              <w:spacing w:line="240" w:lineRule="auto"/>
              <w:rPr>
                <w:rFonts w:ascii="Trebuchet MS" w:hAnsi="Trebuchet MS"/>
                <w:sz w:val="24"/>
              </w:rPr>
            </w:pPr>
            <w:r>
              <w:rPr>
                <w:rFonts w:ascii="Trebuchet MS" w:hAnsi="Trebuchet MS"/>
                <w:sz w:val="24"/>
              </w:rPr>
              <w:t>POR</w:t>
            </w:r>
          </w:p>
        </w:tc>
      </w:tr>
      <w:tr>
        <w:trPr>
          <w:trHeight w:val="468"/>
          <w:jc w:val="center"/>
        </w:trPr>
        <w:tc>
          <w:tcPr>
            <w:tcW w:w="497" w:type="dxa"/>
            <w:vAlign w:val="center"/>
          </w:tcPr>
          <w:p>
            <w:pPr>
              <w:spacing w:line="240" w:lineRule="auto"/>
              <w:ind w:left="270"/>
              <w:rPr>
                <w:rFonts w:ascii="Trebuchet MS" w:hAnsi="Trebuchet MS"/>
                <w:b/>
              </w:rPr>
            </w:pPr>
          </w:p>
        </w:tc>
        <w:tc>
          <w:tcPr>
            <w:tcW w:w="2825" w:type="dxa"/>
            <w:vAlign w:val="center"/>
          </w:tcPr>
          <w:p>
            <w:pPr>
              <w:spacing w:line="240" w:lineRule="auto"/>
              <w:rPr>
                <w:rFonts w:ascii="Trebuchet MS" w:hAnsi="Trebuchet MS"/>
                <w:b/>
                <w:sz w:val="24"/>
              </w:rPr>
            </w:pPr>
            <w:r>
              <w:rPr>
                <w:rFonts w:ascii="Trebuchet MS" w:hAnsi="Trebuchet MS"/>
                <w:b/>
                <w:sz w:val="24"/>
              </w:rPr>
              <w:t>Sustenabilitatea intervenției după încheierea perioadei de finanțare DLRC</w:t>
            </w:r>
          </w:p>
        </w:tc>
        <w:tc>
          <w:tcPr>
            <w:tcW w:w="6304" w:type="dxa"/>
            <w:vAlign w:val="center"/>
          </w:tcPr>
          <w:p>
            <w:pPr>
              <w:spacing w:line="240" w:lineRule="auto"/>
              <w:rPr>
                <w:rFonts w:ascii="Trebuchet MS" w:hAnsi="Trebuchet MS"/>
                <w:sz w:val="24"/>
              </w:rPr>
            </w:pPr>
            <w:r>
              <w:rPr>
                <w:rFonts w:ascii="Trebuchet MS" w:hAnsi="Trebuchet MS"/>
                <w:sz w:val="24"/>
              </w:rPr>
              <w:t>Se va asigura sustenabilitatea intervenției din resursele proprii ale Consiliului Local, prin Serviciul Edilitare pentru cel puțin 2 ani.</w:t>
            </w:r>
          </w:p>
        </w:tc>
      </w:tr>
    </w:tbl>
    <w:p>
      <w:pPr>
        <w:spacing w:line="240" w:lineRule="auto"/>
        <w:rPr>
          <w:rFonts w:ascii="Trebuchet MS" w:hAnsi="Trebuchet MS"/>
        </w:rPr>
      </w:pPr>
    </w:p>
    <w:tbl>
      <w:tblPr>
        <w:tblW w:w="9118" w:type="dxa"/>
        <w:jc w:val="center"/>
        <w:tblLook w:val="04A0" w:firstRow="1" w:lastRow="0" w:firstColumn="1" w:lastColumn="0" w:noHBand="0" w:noVBand="1"/>
      </w:tblPr>
      <w:tblGrid>
        <w:gridCol w:w="2835"/>
        <w:gridCol w:w="6283"/>
      </w:tblGrid>
      <w:tr>
        <w:trPr>
          <w:trHeight w:val="754"/>
          <w:jc w:val="center"/>
        </w:trPr>
        <w:tc>
          <w:tcPr>
            <w:tcW w:w="9118" w:type="dxa"/>
            <w:gridSpan w:val="2"/>
            <w:shd w:val="clear" w:color="auto" w:fill="B8CCE4" w:themeFill="accent1" w:themeFillTint="66"/>
            <w:vAlign w:val="center"/>
          </w:tcPr>
          <w:p>
            <w:pPr>
              <w:spacing w:line="240" w:lineRule="auto"/>
              <w:jc w:val="center"/>
              <w:rPr>
                <w:rFonts w:ascii="Trebuchet MS" w:hAnsi="Trebuchet MS"/>
                <w:b/>
                <w:sz w:val="24"/>
              </w:rPr>
            </w:pPr>
            <w:r>
              <w:rPr>
                <w:rFonts w:ascii="Trebuchet MS" w:hAnsi="Trebuchet MS"/>
                <w:b/>
                <w:sz w:val="24"/>
              </w:rPr>
              <w:t>Fișa intervenției #11 – Intervenție POR – Reabilitare locuințe sociale (fațade, acoperiș, grupuri sanitare, recompartimentare, reabilitarea spațiilor comune, instalații electrice, tâmplărie, igienizare interioară)</w:t>
            </w:r>
          </w:p>
        </w:tc>
      </w:tr>
      <w:tr>
        <w:trPr>
          <w:trHeight w:val="754"/>
          <w:jc w:val="center"/>
        </w:trPr>
        <w:tc>
          <w:tcPr>
            <w:tcW w:w="2835" w:type="dxa"/>
            <w:vAlign w:val="center"/>
          </w:tcPr>
          <w:p>
            <w:pPr>
              <w:spacing w:line="240" w:lineRule="auto"/>
              <w:rPr>
                <w:rFonts w:ascii="Trebuchet MS" w:hAnsi="Trebuchet MS"/>
                <w:b/>
                <w:sz w:val="24"/>
              </w:rPr>
            </w:pPr>
            <w:r>
              <w:rPr>
                <w:rFonts w:ascii="Trebuchet MS" w:hAnsi="Trebuchet MS"/>
                <w:b/>
                <w:sz w:val="24"/>
              </w:rPr>
              <w:t>Regiune de dezvoltare</w:t>
            </w:r>
          </w:p>
          <w:p>
            <w:pPr>
              <w:spacing w:line="240" w:lineRule="auto"/>
              <w:rPr>
                <w:rFonts w:ascii="Trebuchet MS" w:hAnsi="Trebuchet MS"/>
                <w:b/>
                <w:sz w:val="24"/>
              </w:rPr>
            </w:pPr>
            <w:r>
              <w:rPr>
                <w:rFonts w:ascii="Trebuchet MS" w:hAnsi="Trebuchet MS"/>
                <w:b/>
                <w:sz w:val="24"/>
              </w:rPr>
              <w:t>Județ</w:t>
            </w:r>
          </w:p>
          <w:p>
            <w:pPr>
              <w:spacing w:line="240" w:lineRule="auto"/>
              <w:rPr>
                <w:rFonts w:ascii="Trebuchet MS" w:hAnsi="Trebuchet MS"/>
                <w:b/>
                <w:sz w:val="24"/>
              </w:rPr>
            </w:pPr>
            <w:r>
              <w:rPr>
                <w:rFonts w:ascii="Trebuchet MS" w:hAnsi="Trebuchet MS"/>
                <w:b/>
                <w:sz w:val="24"/>
              </w:rPr>
              <w:t>Oraș/municipiu</w:t>
            </w:r>
          </w:p>
        </w:tc>
        <w:tc>
          <w:tcPr>
            <w:tcW w:w="6283" w:type="dxa"/>
            <w:vAlign w:val="center"/>
          </w:tcPr>
          <w:p>
            <w:pPr>
              <w:spacing w:line="240" w:lineRule="auto"/>
              <w:rPr>
                <w:rFonts w:ascii="Trebuchet MS" w:hAnsi="Trebuchet MS"/>
                <w:sz w:val="24"/>
              </w:rPr>
            </w:pPr>
            <w:r>
              <w:rPr>
                <w:rFonts w:ascii="Trebuchet MS" w:hAnsi="Trebuchet MS"/>
                <w:sz w:val="24"/>
              </w:rPr>
              <w:t>Nord-Est</w:t>
            </w:r>
          </w:p>
          <w:p>
            <w:pPr>
              <w:spacing w:line="240" w:lineRule="auto"/>
              <w:rPr>
                <w:rFonts w:ascii="Trebuchet MS" w:hAnsi="Trebuchet MS"/>
                <w:sz w:val="24"/>
              </w:rPr>
            </w:pPr>
            <w:r>
              <w:rPr>
                <w:rFonts w:ascii="Trebuchet MS" w:hAnsi="Trebuchet MS"/>
                <w:sz w:val="24"/>
              </w:rPr>
              <w:t>Botoșani</w:t>
            </w:r>
          </w:p>
          <w:p>
            <w:pPr>
              <w:spacing w:line="240" w:lineRule="auto"/>
              <w:rPr>
                <w:rFonts w:ascii="Trebuchet MS" w:hAnsi="Trebuchet MS"/>
                <w:sz w:val="24"/>
              </w:rPr>
            </w:pPr>
            <w:r>
              <w:rPr>
                <w:rFonts w:ascii="Trebuchet MS" w:hAnsi="Trebuchet MS"/>
                <w:sz w:val="24"/>
              </w:rPr>
              <w:t>Botoșani</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Nume GAL</w:t>
            </w:r>
          </w:p>
        </w:tc>
        <w:tc>
          <w:tcPr>
            <w:tcW w:w="6283" w:type="dxa"/>
            <w:vAlign w:val="center"/>
          </w:tcPr>
          <w:p>
            <w:pPr>
              <w:spacing w:line="240" w:lineRule="auto"/>
              <w:rPr>
                <w:rFonts w:ascii="Trebuchet MS" w:hAnsi="Trebuchet MS"/>
                <w:sz w:val="24"/>
              </w:rPr>
            </w:pPr>
            <w:r>
              <w:rPr>
                <w:rFonts w:ascii="Trebuchet MS" w:hAnsi="Trebuchet MS"/>
                <w:sz w:val="24"/>
              </w:rPr>
              <w:t>GAL „Botoșani pentru viitor”</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Date de contact GAL</w:t>
            </w:r>
          </w:p>
        </w:tc>
        <w:tc>
          <w:tcPr>
            <w:tcW w:w="6283" w:type="dxa"/>
            <w:vAlign w:val="center"/>
          </w:tcPr>
          <w:p>
            <w:pPr>
              <w:spacing w:line="240" w:lineRule="auto"/>
              <w:rPr>
                <w:rFonts w:ascii="Trebuchet MS" w:hAnsi="Trebuchet MS"/>
                <w:sz w:val="24"/>
              </w:rPr>
            </w:pPr>
            <w:r>
              <w:rPr>
                <w:rFonts w:ascii="Trebuchet MS" w:hAnsi="Trebuchet MS"/>
                <w:sz w:val="24"/>
              </w:rPr>
              <w:t>Strada Poștei, nr. 9, etaj 2, camera 214, Botoșani</w:t>
            </w:r>
          </w:p>
          <w:p>
            <w:pPr>
              <w:spacing w:line="240" w:lineRule="auto"/>
              <w:rPr>
                <w:rFonts w:ascii="Trebuchet MS" w:hAnsi="Trebuchet MS"/>
                <w:sz w:val="24"/>
              </w:rPr>
            </w:pPr>
            <w:r>
              <w:rPr>
                <w:rFonts w:ascii="Trebuchet MS" w:hAnsi="Trebuchet MS"/>
                <w:sz w:val="24"/>
              </w:rPr>
              <w:t>galbotosani@gmail.com</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Teritoriul vizat de SDL</w:t>
            </w:r>
          </w:p>
        </w:tc>
        <w:tc>
          <w:tcPr>
            <w:tcW w:w="6283" w:type="dxa"/>
            <w:vAlign w:val="center"/>
          </w:tcPr>
          <w:p>
            <w:pPr>
              <w:spacing w:line="240" w:lineRule="auto"/>
              <w:rPr>
                <w:rFonts w:ascii="Trebuchet MS" w:hAnsi="Trebuchet MS"/>
                <w:sz w:val="24"/>
              </w:rPr>
            </w:pPr>
            <w:r>
              <w:rPr>
                <w:rFonts w:ascii="Trebuchet MS" w:hAnsi="Trebuchet MS"/>
                <w:sz w:val="24"/>
              </w:rPr>
              <w:t>ZUM Cartierul Tineretului</w:t>
            </w:r>
          </w:p>
          <w:p>
            <w:pPr>
              <w:spacing w:line="240" w:lineRule="auto"/>
              <w:rPr>
                <w:rFonts w:ascii="Trebuchet MS" w:hAnsi="Trebuchet MS"/>
                <w:sz w:val="24"/>
              </w:rPr>
            </w:pPr>
            <w:r>
              <w:rPr>
                <w:rFonts w:ascii="Trebuchet MS" w:hAnsi="Trebuchet MS"/>
                <w:sz w:val="24"/>
              </w:rPr>
              <w:lastRenderedPageBreak/>
              <w:t>ZUM Centrul Vechi</w:t>
            </w:r>
          </w:p>
          <w:p>
            <w:pPr>
              <w:spacing w:line="240" w:lineRule="auto"/>
              <w:rPr>
                <w:rFonts w:ascii="Trebuchet MS" w:hAnsi="Trebuchet MS"/>
                <w:sz w:val="24"/>
              </w:rPr>
            </w:pPr>
            <w:r>
              <w:rPr>
                <w:rFonts w:ascii="Trebuchet MS" w:hAnsi="Trebuchet MS"/>
                <w:sz w:val="24"/>
              </w:rPr>
              <w:t xml:space="preserve">ZUF – Nord – Strada Tomis, Str. Zimbrului, Str. Împărat Traian; </w:t>
            </w:r>
          </w:p>
          <w:p>
            <w:pPr>
              <w:spacing w:line="240" w:lineRule="auto"/>
              <w:rPr>
                <w:rFonts w:ascii="Trebuchet MS" w:hAnsi="Trebuchet MS"/>
                <w:sz w:val="24"/>
              </w:rPr>
            </w:pPr>
            <w:r>
              <w:rPr>
                <w:rFonts w:ascii="Trebuchet MS" w:hAnsi="Trebuchet MS"/>
                <w:sz w:val="24"/>
              </w:rPr>
              <w:t>Est – Str. Săvenilor nr. 33-59, Str. Tudor Vladimirescu nr. 12-96, Str. I.C. Brătianu nr. 40-52;</w:t>
            </w:r>
          </w:p>
          <w:p>
            <w:pPr>
              <w:spacing w:line="240" w:lineRule="auto"/>
              <w:rPr>
                <w:rFonts w:ascii="Trebuchet MS" w:hAnsi="Trebuchet MS"/>
                <w:sz w:val="24"/>
              </w:rPr>
            </w:pPr>
            <w:r>
              <w:rPr>
                <w:rFonts w:ascii="Trebuchet MS" w:hAnsi="Trebuchet MS"/>
                <w:sz w:val="24"/>
              </w:rPr>
              <w:t>Sud – Str. Petru Rareș, Str. Victoriei, Str. 1 Decembrie;</w:t>
            </w:r>
          </w:p>
          <w:p>
            <w:pPr>
              <w:spacing w:line="240" w:lineRule="auto"/>
              <w:rPr>
                <w:rFonts w:ascii="Trebuchet MS" w:hAnsi="Trebuchet MS"/>
                <w:sz w:val="24"/>
              </w:rPr>
            </w:pPr>
            <w:r>
              <w:rPr>
                <w:rFonts w:ascii="Trebuchet MS" w:hAnsi="Trebuchet MS"/>
                <w:sz w:val="24"/>
              </w:rPr>
              <w:t>Vest – Str. Octav Onicescu nr. 62-70, Str. Împărat Traian nr. 21, Str. Poporului nr. 1, Str. Libertății nr. 6 și 11-27, Str. Mușat Vodă nr. 25 și 38</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lastRenderedPageBreak/>
              <w:t>Titlul intervenției</w:t>
            </w:r>
          </w:p>
        </w:tc>
        <w:tc>
          <w:tcPr>
            <w:tcW w:w="6283" w:type="dxa"/>
            <w:vAlign w:val="center"/>
          </w:tcPr>
          <w:p>
            <w:pPr>
              <w:spacing w:line="240" w:lineRule="auto"/>
              <w:rPr>
                <w:rFonts w:ascii="Trebuchet MS" w:hAnsi="Trebuchet MS"/>
                <w:sz w:val="24"/>
              </w:rPr>
            </w:pPr>
            <w:r>
              <w:rPr>
                <w:rFonts w:ascii="Trebuchet MS" w:hAnsi="Trebuchet MS"/>
                <w:sz w:val="24"/>
              </w:rPr>
              <w:t>Reabilitare locuințe sociale (fațade, acoperiș, grupuri sanitare, recompartimentare, reabilitarea spațiilor comune, instalații electrice, tâmplărie, igienizare interioară)</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Obiectivul specific SDL la atingerea căruia contribuie intervenția</w:t>
            </w:r>
          </w:p>
        </w:tc>
        <w:tc>
          <w:tcPr>
            <w:tcW w:w="6283" w:type="dxa"/>
            <w:vAlign w:val="center"/>
          </w:tcPr>
          <w:p>
            <w:pPr>
              <w:spacing w:line="240" w:lineRule="auto"/>
              <w:rPr>
                <w:rFonts w:ascii="Trebuchet MS" w:hAnsi="Trebuchet MS"/>
                <w:sz w:val="24"/>
              </w:rPr>
            </w:pPr>
            <w:r>
              <w:rPr>
                <w:rFonts w:ascii="Trebuchet MS" w:hAnsi="Trebuchet MS"/>
                <w:sz w:val="24"/>
              </w:rPr>
              <w:t>OS 3 – Îmbunătățirea condițiilor de locuire pentru 100 de persoane în 3 ani</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Măsura din Planul de acțiune vizată prin intervenție</w:t>
            </w:r>
          </w:p>
        </w:tc>
        <w:tc>
          <w:tcPr>
            <w:tcW w:w="6283" w:type="dxa"/>
            <w:vAlign w:val="center"/>
          </w:tcPr>
          <w:p>
            <w:pPr>
              <w:spacing w:line="240" w:lineRule="auto"/>
              <w:rPr>
                <w:rFonts w:ascii="Trebuchet MS" w:hAnsi="Trebuchet MS"/>
                <w:sz w:val="24"/>
              </w:rPr>
            </w:pPr>
            <w:r>
              <w:rPr>
                <w:rFonts w:ascii="Trebuchet MS" w:hAnsi="Trebuchet MS"/>
                <w:sz w:val="24"/>
              </w:rPr>
              <w:t>Măsura 6 – Îmbunătățirea condițiilor de locuit în ZUM Centrul Istoric</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Justificarea intervenției</w:t>
            </w:r>
          </w:p>
        </w:tc>
        <w:tc>
          <w:tcPr>
            <w:tcW w:w="6283" w:type="dxa"/>
            <w:vAlign w:val="center"/>
          </w:tcPr>
          <w:p>
            <w:pPr>
              <w:spacing w:line="240" w:lineRule="auto"/>
              <w:rPr>
                <w:rFonts w:ascii="Trebuchet MS" w:hAnsi="Trebuchet MS"/>
                <w:sz w:val="24"/>
              </w:rPr>
            </w:pPr>
            <w:r>
              <w:rPr>
                <w:rFonts w:ascii="Trebuchet MS" w:hAnsi="Trebuchet MS"/>
                <w:sz w:val="24"/>
              </w:rPr>
              <w:t>Aspectul interior și exterior al locuințelor sociale din Centrul istoric este extrem de precar. Intervenția are o componentă atât utilitară, de îmbunătățire a condițiilor de locuit pentru chiriași, cât și estetică, fiind vorba de clădiri aflate în centrul orașului.</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Comunitatea marginalizată din teritoriu</w:t>
            </w:r>
          </w:p>
        </w:tc>
        <w:tc>
          <w:tcPr>
            <w:tcW w:w="6283" w:type="dxa"/>
            <w:vAlign w:val="center"/>
          </w:tcPr>
          <w:p>
            <w:pPr>
              <w:spacing w:line="240" w:lineRule="auto"/>
              <w:rPr>
                <w:rFonts w:ascii="Trebuchet MS" w:hAnsi="Trebuchet MS"/>
                <w:sz w:val="24"/>
              </w:rPr>
            </w:pPr>
            <w:r>
              <w:rPr>
                <w:rFonts w:ascii="Trebuchet MS" w:hAnsi="Trebuchet MS"/>
                <w:sz w:val="24"/>
              </w:rPr>
              <w:t>Roma</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Grupuri țintă vizate (persoane aflate în risc de sărăcie și excluziune socială)</w:t>
            </w:r>
          </w:p>
        </w:tc>
        <w:tc>
          <w:tcPr>
            <w:tcW w:w="6283" w:type="dxa"/>
            <w:vAlign w:val="center"/>
          </w:tcPr>
          <w:p>
            <w:pPr>
              <w:spacing w:line="240" w:lineRule="auto"/>
              <w:rPr>
                <w:rFonts w:ascii="Trebuchet MS" w:hAnsi="Trebuchet MS"/>
                <w:sz w:val="24"/>
              </w:rPr>
            </w:pPr>
            <w:r>
              <w:rPr>
                <w:rFonts w:ascii="Trebuchet MS" w:hAnsi="Trebuchet MS"/>
                <w:sz w:val="24"/>
              </w:rPr>
              <w:t>100 persoane din ZUM 2 Centrul Istoric</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Durata estimată a intervenției</w:t>
            </w:r>
          </w:p>
        </w:tc>
        <w:tc>
          <w:tcPr>
            <w:tcW w:w="6283" w:type="dxa"/>
            <w:vAlign w:val="center"/>
          </w:tcPr>
          <w:p>
            <w:pPr>
              <w:spacing w:line="240" w:lineRule="auto"/>
              <w:rPr>
                <w:rFonts w:ascii="Trebuchet MS" w:hAnsi="Trebuchet MS"/>
                <w:sz w:val="24"/>
              </w:rPr>
            </w:pPr>
            <w:r>
              <w:rPr>
                <w:rFonts w:ascii="Trebuchet MS" w:hAnsi="Trebuchet MS"/>
                <w:sz w:val="24"/>
              </w:rPr>
              <w:t>36 luni</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lastRenderedPageBreak/>
              <w:t>Buget estimativ</w:t>
            </w:r>
          </w:p>
        </w:tc>
        <w:tc>
          <w:tcPr>
            <w:tcW w:w="6283" w:type="dxa"/>
            <w:vAlign w:val="center"/>
          </w:tcPr>
          <w:p>
            <w:pPr>
              <w:spacing w:line="240" w:lineRule="auto"/>
              <w:rPr>
                <w:rFonts w:ascii="Trebuchet MS" w:hAnsi="Trebuchet MS"/>
                <w:sz w:val="24"/>
              </w:rPr>
            </w:pPr>
            <w:r>
              <w:rPr>
                <w:rFonts w:ascii="Trebuchet MS" w:hAnsi="Trebuchet MS"/>
                <w:sz w:val="24"/>
              </w:rPr>
              <w:t>1700000 Euro</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Surse de finanțare</w:t>
            </w:r>
          </w:p>
        </w:tc>
        <w:tc>
          <w:tcPr>
            <w:tcW w:w="6283" w:type="dxa"/>
            <w:vAlign w:val="center"/>
          </w:tcPr>
          <w:p>
            <w:pPr>
              <w:spacing w:line="240" w:lineRule="auto"/>
              <w:rPr>
                <w:rFonts w:ascii="Trebuchet MS" w:hAnsi="Trebuchet MS"/>
                <w:sz w:val="24"/>
              </w:rPr>
            </w:pPr>
            <w:r>
              <w:rPr>
                <w:rFonts w:ascii="Trebuchet MS" w:hAnsi="Trebuchet MS"/>
                <w:sz w:val="24"/>
              </w:rPr>
              <w:t>POR</w:t>
            </w:r>
          </w:p>
        </w:tc>
      </w:tr>
      <w:tr>
        <w:trPr>
          <w:trHeight w:val="452"/>
          <w:jc w:val="center"/>
        </w:trPr>
        <w:tc>
          <w:tcPr>
            <w:tcW w:w="2835" w:type="dxa"/>
            <w:vAlign w:val="center"/>
          </w:tcPr>
          <w:p>
            <w:pPr>
              <w:spacing w:line="240" w:lineRule="auto"/>
              <w:rPr>
                <w:rFonts w:ascii="Trebuchet MS" w:hAnsi="Trebuchet MS"/>
                <w:b/>
                <w:sz w:val="24"/>
              </w:rPr>
            </w:pPr>
            <w:r>
              <w:rPr>
                <w:rFonts w:ascii="Trebuchet MS" w:hAnsi="Trebuchet MS"/>
                <w:b/>
                <w:sz w:val="24"/>
              </w:rPr>
              <w:t>Sustenabilitatea intervenției după încheierea perioadei de finanțare DLRC</w:t>
            </w:r>
          </w:p>
        </w:tc>
        <w:tc>
          <w:tcPr>
            <w:tcW w:w="6283" w:type="dxa"/>
            <w:vAlign w:val="center"/>
          </w:tcPr>
          <w:p>
            <w:pPr>
              <w:spacing w:line="240" w:lineRule="auto"/>
              <w:rPr>
                <w:rFonts w:ascii="Trebuchet MS" w:hAnsi="Trebuchet MS"/>
                <w:sz w:val="24"/>
              </w:rPr>
            </w:pPr>
            <w:r>
              <w:rPr>
                <w:rFonts w:ascii="Trebuchet MS" w:hAnsi="Trebuchet MS"/>
                <w:sz w:val="24"/>
              </w:rPr>
              <w:t>Sustenabilitatea va fi făcută de Societatea Locativa, din subordinea Consiliului Local</w:t>
            </w:r>
          </w:p>
        </w:tc>
      </w:tr>
    </w:tbl>
    <w:p>
      <w:pPr>
        <w:spacing w:line="240" w:lineRule="auto"/>
        <w:rPr>
          <w:rFonts w:ascii="Trebuchet MS" w:hAnsi="Trebuchet MS"/>
        </w:rPr>
      </w:pPr>
    </w:p>
    <w:tbl>
      <w:tblPr>
        <w:tblW w:w="9188" w:type="dxa"/>
        <w:jc w:val="center"/>
        <w:tblLook w:val="04A0" w:firstRow="1" w:lastRow="0" w:firstColumn="1" w:lastColumn="0" w:noHBand="0" w:noVBand="1"/>
      </w:tblPr>
      <w:tblGrid>
        <w:gridCol w:w="474"/>
        <w:gridCol w:w="2696"/>
        <w:gridCol w:w="6018"/>
      </w:tblGrid>
      <w:tr>
        <w:trPr>
          <w:trHeight w:val="806"/>
          <w:jc w:val="center"/>
        </w:trPr>
        <w:tc>
          <w:tcPr>
            <w:tcW w:w="9188" w:type="dxa"/>
            <w:gridSpan w:val="3"/>
            <w:shd w:val="clear" w:color="auto" w:fill="B8CCE4" w:themeFill="accent1" w:themeFillTint="66"/>
            <w:vAlign w:val="center"/>
          </w:tcPr>
          <w:p>
            <w:pPr>
              <w:spacing w:line="240" w:lineRule="auto"/>
              <w:jc w:val="center"/>
              <w:rPr>
                <w:rFonts w:ascii="Trebuchet MS" w:hAnsi="Trebuchet MS"/>
                <w:b/>
                <w:sz w:val="24"/>
              </w:rPr>
            </w:pPr>
            <w:r>
              <w:rPr>
                <w:rFonts w:ascii="Trebuchet MS" w:hAnsi="Trebuchet MS"/>
                <w:b/>
                <w:sz w:val="24"/>
              </w:rPr>
              <w:t>Fișa intervenției #14 – Intervenție POR – Reabilitarea spațiului în care se vor derula serviciile de ocupare și calificare</w:t>
            </w:r>
          </w:p>
        </w:tc>
      </w:tr>
      <w:tr>
        <w:trPr>
          <w:trHeight w:val="806"/>
          <w:jc w:val="center"/>
        </w:trPr>
        <w:tc>
          <w:tcPr>
            <w:tcW w:w="474" w:type="dxa"/>
            <w:vAlign w:val="center"/>
          </w:tcPr>
          <w:p>
            <w:p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Regiune de dezvoltare</w:t>
            </w:r>
          </w:p>
          <w:p>
            <w:pPr>
              <w:spacing w:line="240" w:lineRule="auto"/>
              <w:rPr>
                <w:rFonts w:ascii="Trebuchet MS" w:hAnsi="Trebuchet MS"/>
                <w:b/>
                <w:sz w:val="24"/>
              </w:rPr>
            </w:pPr>
            <w:r>
              <w:rPr>
                <w:rFonts w:ascii="Trebuchet MS" w:hAnsi="Trebuchet MS"/>
                <w:b/>
                <w:sz w:val="24"/>
              </w:rPr>
              <w:t>Județ</w:t>
            </w:r>
          </w:p>
          <w:p>
            <w:pPr>
              <w:spacing w:line="240" w:lineRule="auto"/>
              <w:rPr>
                <w:rFonts w:ascii="Trebuchet MS" w:hAnsi="Trebuchet MS"/>
                <w:b/>
                <w:sz w:val="24"/>
              </w:rPr>
            </w:pPr>
            <w:r>
              <w:rPr>
                <w:rFonts w:ascii="Trebuchet MS" w:hAnsi="Trebuchet MS"/>
                <w:b/>
                <w:sz w:val="24"/>
              </w:rPr>
              <w:t>Oraș/municipiu</w:t>
            </w:r>
          </w:p>
        </w:tc>
        <w:tc>
          <w:tcPr>
            <w:tcW w:w="6018" w:type="dxa"/>
            <w:vAlign w:val="center"/>
          </w:tcPr>
          <w:p>
            <w:pPr>
              <w:spacing w:line="240" w:lineRule="auto"/>
              <w:rPr>
                <w:rFonts w:ascii="Trebuchet MS" w:hAnsi="Trebuchet MS"/>
                <w:sz w:val="24"/>
              </w:rPr>
            </w:pPr>
            <w:r>
              <w:rPr>
                <w:rFonts w:ascii="Trebuchet MS" w:hAnsi="Trebuchet MS"/>
                <w:sz w:val="24"/>
              </w:rPr>
              <w:t>Nord-Est</w:t>
            </w:r>
          </w:p>
          <w:p>
            <w:pPr>
              <w:spacing w:line="240" w:lineRule="auto"/>
              <w:rPr>
                <w:rFonts w:ascii="Trebuchet MS" w:hAnsi="Trebuchet MS"/>
                <w:sz w:val="24"/>
              </w:rPr>
            </w:pPr>
            <w:r>
              <w:rPr>
                <w:rFonts w:ascii="Trebuchet MS" w:hAnsi="Trebuchet MS"/>
                <w:sz w:val="24"/>
              </w:rPr>
              <w:t>Botoșani</w:t>
            </w:r>
          </w:p>
          <w:p>
            <w:pPr>
              <w:spacing w:line="240" w:lineRule="auto"/>
              <w:rPr>
                <w:rFonts w:ascii="Trebuchet MS" w:hAnsi="Trebuchet MS"/>
                <w:sz w:val="24"/>
              </w:rPr>
            </w:pPr>
            <w:r>
              <w:rPr>
                <w:rFonts w:ascii="Trebuchet MS" w:hAnsi="Trebuchet MS"/>
                <w:sz w:val="24"/>
              </w:rPr>
              <w:t>Botoșani</w:t>
            </w:r>
          </w:p>
        </w:tc>
      </w:tr>
      <w:tr>
        <w:trPr>
          <w:trHeight w:val="483"/>
          <w:jc w:val="center"/>
        </w:trPr>
        <w:tc>
          <w:tcPr>
            <w:tcW w:w="474" w:type="dxa"/>
            <w:vAlign w:val="center"/>
          </w:tcPr>
          <w:p>
            <w:p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Nume GAL</w:t>
            </w:r>
          </w:p>
        </w:tc>
        <w:tc>
          <w:tcPr>
            <w:tcW w:w="6018" w:type="dxa"/>
            <w:vAlign w:val="center"/>
          </w:tcPr>
          <w:p>
            <w:pPr>
              <w:spacing w:line="240" w:lineRule="auto"/>
              <w:rPr>
                <w:rFonts w:ascii="Trebuchet MS" w:hAnsi="Trebuchet MS"/>
                <w:sz w:val="24"/>
              </w:rPr>
            </w:pPr>
            <w:r>
              <w:rPr>
                <w:rFonts w:ascii="Trebuchet MS" w:hAnsi="Trebuchet MS"/>
                <w:sz w:val="24"/>
              </w:rPr>
              <w:t>GAL „Botoșani pentru viitor”</w:t>
            </w:r>
          </w:p>
        </w:tc>
      </w:tr>
      <w:tr>
        <w:trPr>
          <w:trHeight w:val="483"/>
          <w:jc w:val="center"/>
        </w:trPr>
        <w:tc>
          <w:tcPr>
            <w:tcW w:w="474" w:type="dxa"/>
            <w:vAlign w:val="center"/>
          </w:tcPr>
          <w:p>
            <w:p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Date de contact GAL</w:t>
            </w:r>
          </w:p>
        </w:tc>
        <w:tc>
          <w:tcPr>
            <w:tcW w:w="6018" w:type="dxa"/>
            <w:vAlign w:val="center"/>
          </w:tcPr>
          <w:p>
            <w:pPr>
              <w:spacing w:line="240" w:lineRule="auto"/>
              <w:rPr>
                <w:rFonts w:ascii="Trebuchet MS" w:hAnsi="Trebuchet MS"/>
                <w:sz w:val="24"/>
              </w:rPr>
            </w:pPr>
            <w:r>
              <w:rPr>
                <w:rFonts w:ascii="Trebuchet MS" w:hAnsi="Trebuchet MS"/>
                <w:sz w:val="24"/>
              </w:rPr>
              <w:t>Strada Poștei, nr. 9, etaj 2, camera 214, Botoșani</w:t>
            </w:r>
          </w:p>
          <w:p>
            <w:pPr>
              <w:spacing w:line="240" w:lineRule="auto"/>
              <w:rPr>
                <w:rFonts w:ascii="Trebuchet MS" w:hAnsi="Trebuchet MS"/>
                <w:sz w:val="24"/>
              </w:rPr>
            </w:pPr>
            <w:r>
              <w:rPr>
                <w:rFonts w:ascii="Trebuchet MS" w:hAnsi="Trebuchet MS"/>
                <w:sz w:val="24"/>
              </w:rPr>
              <w:t>galbotosani@gmail.com</w:t>
            </w:r>
          </w:p>
        </w:tc>
      </w:tr>
      <w:tr>
        <w:trPr>
          <w:trHeight w:val="483"/>
          <w:jc w:val="center"/>
        </w:trPr>
        <w:tc>
          <w:tcPr>
            <w:tcW w:w="474" w:type="dxa"/>
            <w:vAlign w:val="center"/>
          </w:tcPr>
          <w:p>
            <w:p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Teritoriul vizat de SDL</w:t>
            </w:r>
          </w:p>
        </w:tc>
        <w:tc>
          <w:tcPr>
            <w:tcW w:w="6018" w:type="dxa"/>
            <w:vAlign w:val="center"/>
          </w:tcPr>
          <w:p>
            <w:pPr>
              <w:spacing w:line="240" w:lineRule="auto"/>
              <w:rPr>
                <w:rFonts w:ascii="Trebuchet MS" w:hAnsi="Trebuchet MS"/>
                <w:sz w:val="24"/>
              </w:rPr>
            </w:pPr>
            <w:r>
              <w:rPr>
                <w:rFonts w:ascii="Trebuchet MS" w:hAnsi="Trebuchet MS"/>
                <w:sz w:val="24"/>
              </w:rPr>
              <w:t>ZUM Cartierul Tineretului</w:t>
            </w:r>
          </w:p>
          <w:p>
            <w:pPr>
              <w:spacing w:line="240" w:lineRule="auto"/>
              <w:rPr>
                <w:rFonts w:ascii="Trebuchet MS" w:hAnsi="Trebuchet MS"/>
                <w:sz w:val="24"/>
              </w:rPr>
            </w:pPr>
            <w:r>
              <w:rPr>
                <w:rFonts w:ascii="Trebuchet MS" w:hAnsi="Trebuchet MS"/>
                <w:sz w:val="24"/>
              </w:rPr>
              <w:t>ZUM Centrul Vechi</w:t>
            </w:r>
          </w:p>
          <w:p>
            <w:pPr>
              <w:spacing w:line="240" w:lineRule="auto"/>
              <w:rPr>
                <w:rFonts w:ascii="Trebuchet MS" w:hAnsi="Trebuchet MS"/>
                <w:sz w:val="24"/>
              </w:rPr>
            </w:pPr>
            <w:r>
              <w:rPr>
                <w:rFonts w:ascii="Trebuchet MS" w:hAnsi="Trebuchet MS"/>
                <w:sz w:val="24"/>
              </w:rPr>
              <w:t xml:space="preserve">ZUF – Nord – Strada Tomis, Str. Zimbrului, Str. Împărat Traian; </w:t>
            </w:r>
          </w:p>
          <w:p>
            <w:pPr>
              <w:spacing w:line="240" w:lineRule="auto"/>
              <w:rPr>
                <w:rFonts w:ascii="Trebuchet MS" w:hAnsi="Trebuchet MS"/>
                <w:sz w:val="24"/>
              </w:rPr>
            </w:pPr>
            <w:r>
              <w:rPr>
                <w:rFonts w:ascii="Trebuchet MS" w:hAnsi="Trebuchet MS"/>
                <w:sz w:val="24"/>
              </w:rPr>
              <w:t>Est – Str. Săvenilor nr. 33-59, Str. Tudor Vladimirescu nr. 12-96, Str. I.C. Brătianu nr. 40-52;</w:t>
            </w:r>
          </w:p>
          <w:p>
            <w:pPr>
              <w:spacing w:line="240" w:lineRule="auto"/>
              <w:rPr>
                <w:rFonts w:ascii="Trebuchet MS" w:hAnsi="Trebuchet MS"/>
                <w:sz w:val="24"/>
              </w:rPr>
            </w:pPr>
            <w:r>
              <w:rPr>
                <w:rFonts w:ascii="Trebuchet MS" w:hAnsi="Trebuchet MS"/>
                <w:sz w:val="24"/>
              </w:rPr>
              <w:t>Sud – Str. Petru Rareș, Str. Victoriei, Str. 1 Decembrie;</w:t>
            </w:r>
          </w:p>
          <w:p>
            <w:pPr>
              <w:spacing w:line="240" w:lineRule="auto"/>
              <w:rPr>
                <w:rFonts w:ascii="Trebuchet MS" w:hAnsi="Trebuchet MS"/>
                <w:sz w:val="24"/>
              </w:rPr>
            </w:pPr>
            <w:r>
              <w:rPr>
                <w:rFonts w:ascii="Trebuchet MS" w:hAnsi="Trebuchet MS"/>
                <w:sz w:val="24"/>
              </w:rPr>
              <w:t>Vest – Str. Octav Onicescu nr. 62-70, Str. Împărat Traian nr. 21, Str. Poporului nr. 1, Str. Libertății nr. 6 și 11-27, Str. Mușat Vodă nr. 25 și 38</w:t>
            </w:r>
          </w:p>
        </w:tc>
      </w:tr>
      <w:tr>
        <w:trPr>
          <w:trHeight w:val="483"/>
          <w:jc w:val="center"/>
        </w:trPr>
        <w:tc>
          <w:tcPr>
            <w:tcW w:w="474" w:type="dxa"/>
            <w:vAlign w:val="center"/>
          </w:tcPr>
          <w:p>
            <w:p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Titlul intervenției</w:t>
            </w:r>
          </w:p>
        </w:tc>
        <w:tc>
          <w:tcPr>
            <w:tcW w:w="6018" w:type="dxa"/>
            <w:vAlign w:val="center"/>
          </w:tcPr>
          <w:p>
            <w:pPr>
              <w:spacing w:line="240" w:lineRule="auto"/>
              <w:rPr>
                <w:rFonts w:ascii="Trebuchet MS" w:hAnsi="Trebuchet MS"/>
                <w:sz w:val="24"/>
              </w:rPr>
            </w:pPr>
            <w:r>
              <w:rPr>
                <w:rFonts w:ascii="Trebuchet MS" w:hAnsi="Trebuchet MS"/>
                <w:sz w:val="24"/>
              </w:rPr>
              <w:t xml:space="preserve">Reabilitarea spațiului în care se vor derula serviciile </w:t>
            </w:r>
            <w:r>
              <w:rPr>
                <w:rFonts w:ascii="Trebuchet MS" w:hAnsi="Trebuchet MS"/>
                <w:sz w:val="24"/>
              </w:rPr>
              <w:lastRenderedPageBreak/>
              <w:t>de ocupare și calificare</w:t>
            </w:r>
          </w:p>
        </w:tc>
      </w:tr>
      <w:tr>
        <w:trPr>
          <w:trHeight w:val="483"/>
          <w:jc w:val="center"/>
        </w:trPr>
        <w:tc>
          <w:tcPr>
            <w:tcW w:w="474" w:type="dxa"/>
            <w:vAlign w:val="center"/>
          </w:tcPr>
          <w:p>
            <w:p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Obiectivul specific SDL la atingerea căruia contribuie intervenția</w:t>
            </w:r>
          </w:p>
        </w:tc>
        <w:tc>
          <w:tcPr>
            <w:tcW w:w="6018" w:type="dxa"/>
            <w:vAlign w:val="center"/>
          </w:tcPr>
          <w:p>
            <w:pPr>
              <w:spacing w:line="240" w:lineRule="auto"/>
              <w:rPr>
                <w:rFonts w:ascii="Trebuchet MS" w:hAnsi="Trebuchet MS"/>
                <w:sz w:val="24"/>
              </w:rPr>
            </w:pPr>
            <w:r>
              <w:rPr>
                <w:rFonts w:ascii="Trebuchet MS" w:hAnsi="Trebuchet MS"/>
                <w:sz w:val="24"/>
              </w:rPr>
              <w:t>OS 4 – Creșterea gradului de ocupare prin furnizarea de servicii de ocupare, calificare și angajare pentru 420 de persoane pe o perioadă de 3 ani</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Măsura din Planul de acțiune vizată prin intervenție</w:t>
            </w:r>
          </w:p>
        </w:tc>
        <w:tc>
          <w:tcPr>
            <w:tcW w:w="6018" w:type="dxa"/>
            <w:vAlign w:val="center"/>
          </w:tcPr>
          <w:p>
            <w:pPr>
              <w:spacing w:line="240" w:lineRule="auto"/>
              <w:rPr>
                <w:rFonts w:ascii="Trebuchet MS" w:hAnsi="Trebuchet MS"/>
                <w:sz w:val="24"/>
              </w:rPr>
            </w:pPr>
            <w:r>
              <w:rPr>
                <w:rFonts w:ascii="Trebuchet MS" w:hAnsi="Trebuchet MS"/>
                <w:sz w:val="24"/>
              </w:rPr>
              <w:t>Măsura 7 – Creșterea accesului la servicii de ocupare prin furnizarea de servicii de informare, consiliere și mediere</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Justificarea intervenției</w:t>
            </w:r>
          </w:p>
        </w:tc>
        <w:tc>
          <w:tcPr>
            <w:tcW w:w="6018" w:type="dxa"/>
            <w:vAlign w:val="center"/>
          </w:tcPr>
          <w:p>
            <w:pPr>
              <w:spacing w:line="240" w:lineRule="auto"/>
              <w:rPr>
                <w:rFonts w:ascii="Trebuchet MS" w:hAnsi="Trebuchet MS"/>
                <w:sz w:val="24"/>
              </w:rPr>
            </w:pPr>
            <w:r>
              <w:rPr>
                <w:rFonts w:ascii="Trebuchet MS" w:hAnsi="Trebuchet MS"/>
                <w:sz w:val="24"/>
              </w:rPr>
              <w:t>Spațiile în care se vor desfășura serviciile de ocupare trebuie să fie igienizate și dotate</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Comunitatea marginalizată din teritoriu</w:t>
            </w:r>
          </w:p>
        </w:tc>
        <w:tc>
          <w:tcPr>
            <w:tcW w:w="6018" w:type="dxa"/>
            <w:vAlign w:val="center"/>
          </w:tcPr>
          <w:p>
            <w:pPr>
              <w:spacing w:line="240" w:lineRule="auto"/>
              <w:rPr>
                <w:rFonts w:ascii="Trebuchet MS" w:hAnsi="Trebuchet MS"/>
                <w:sz w:val="24"/>
              </w:rPr>
            </w:pPr>
            <w:r>
              <w:rPr>
                <w:rFonts w:ascii="Trebuchet MS" w:hAnsi="Trebuchet MS"/>
                <w:sz w:val="24"/>
              </w:rPr>
              <w:t>Roma și non-roma</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Grupuri țintă vizate (persoane aflate în risc de sărăcie și excluziune socială)</w:t>
            </w:r>
          </w:p>
        </w:tc>
        <w:tc>
          <w:tcPr>
            <w:tcW w:w="6018" w:type="dxa"/>
            <w:vAlign w:val="center"/>
          </w:tcPr>
          <w:p>
            <w:pPr>
              <w:spacing w:line="240" w:lineRule="auto"/>
              <w:rPr>
                <w:rFonts w:ascii="Trebuchet MS" w:hAnsi="Trebuchet MS"/>
                <w:sz w:val="24"/>
              </w:rPr>
            </w:pPr>
            <w:r>
              <w:rPr>
                <w:rFonts w:ascii="Trebuchet MS" w:hAnsi="Trebuchet MS"/>
                <w:sz w:val="24"/>
              </w:rPr>
              <w:t>420 de persoane din teritoriul celor 2 ZUM-uri si teritoriul SDL</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Durata estimată a intervenției</w:t>
            </w:r>
          </w:p>
        </w:tc>
        <w:tc>
          <w:tcPr>
            <w:tcW w:w="6018" w:type="dxa"/>
            <w:vAlign w:val="center"/>
          </w:tcPr>
          <w:p>
            <w:pPr>
              <w:spacing w:line="240" w:lineRule="auto"/>
              <w:rPr>
                <w:rFonts w:ascii="Trebuchet MS" w:hAnsi="Trebuchet MS"/>
                <w:sz w:val="24"/>
              </w:rPr>
            </w:pPr>
            <w:r>
              <w:rPr>
                <w:rFonts w:ascii="Trebuchet MS" w:hAnsi="Trebuchet MS"/>
                <w:sz w:val="24"/>
              </w:rPr>
              <w:t>36 luni</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Buget estimativ</w:t>
            </w:r>
          </w:p>
        </w:tc>
        <w:tc>
          <w:tcPr>
            <w:tcW w:w="6018" w:type="dxa"/>
            <w:vAlign w:val="center"/>
          </w:tcPr>
          <w:p>
            <w:pPr>
              <w:spacing w:line="240" w:lineRule="auto"/>
              <w:rPr>
                <w:rFonts w:ascii="Trebuchet MS" w:hAnsi="Trebuchet MS"/>
                <w:sz w:val="24"/>
              </w:rPr>
            </w:pPr>
            <w:r>
              <w:rPr>
                <w:rFonts w:ascii="Trebuchet MS" w:hAnsi="Trebuchet MS"/>
                <w:sz w:val="24"/>
              </w:rPr>
              <w:t>200000 Euro</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Surse de finanțare</w:t>
            </w:r>
          </w:p>
        </w:tc>
        <w:tc>
          <w:tcPr>
            <w:tcW w:w="6018" w:type="dxa"/>
            <w:vAlign w:val="center"/>
          </w:tcPr>
          <w:p>
            <w:pPr>
              <w:spacing w:line="240" w:lineRule="auto"/>
              <w:rPr>
                <w:rFonts w:ascii="Trebuchet MS" w:hAnsi="Trebuchet MS"/>
                <w:sz w:val="24"/>
              </w:rPr>
            </w:pPr>
            <w:r>
              <w:rPr>
                <w:rFonts w:ascii="Trebuchet MS" w:hAnsi="Trebuchet MS"/>
                <w:sz w:val="24"/>
              </w:rPr>
              <w:t>POR</w:t>
            </w:r>
          </w:p>
        </w:tc>
      </w:tr>
      <w:tr>
        <w:trPr>
          <w:trHeight w:val="483"/>
          <w:jc w:val="center"/>
        </w:trPr>
        <w:tc>
          <w:tcPr>
            <w:tcW w:w="474" w:type="dxa"/>
            <w:vAlign w:val="center"/>
          </w:tcPr>
          <w:p>
            <w:pPr>
              <w:pStyle w:val="ListParagraph"/>
              <w:numPr>
                <w:ilvl w:val="0"/>
                <w:numId w:val="18"/>
              </w:numPr>
              <w:spacing w:line="240" w:lineRule="auto"/>
              <w:rPr>
                <w:rFonts w:ascii="Trebuchet MS" w:hAnsi="Trebuchet MS"/>
                <w:b/>
              </w:rPr>
            </w:pPr>
          </w:p>
        </w:tc>
        <w:tc>
          <w:tcPr>
            <w:tcW w:w="2696" w:type="dxa"/>
            <w:vAlign w:val="center"/>
          </w:tcPr>
          <w:p>
            <w:pPr>
              <w:spacing w:line="240" w:lineRule="auto"/>
              <w:rPr>
                <w:rFonts w:ascii="Trebuchet MS" w:hAnsi="Trebuchet MS"/>
                <w:b/>
                <w:sz w:val="24"/>
              </w:rPr>
            </w:pPr>
            <w:r>
              <w:rPr>
                <w:rFonts w:ascii="Trebuchet MS" w:hAnsi="Trebuchet MS"/>
                <w:b/>
                <w:sz w:val="24"/>
              </w:rPr>
              <w:t>Sustenabilitatea intervenției după încheierea perioadei de finanțare DLRC</w:t>
            </w:r>
          </w:p>
        </w:tc>
        <w:tc>
          <w:tcPr>
            <w:tcW w:w="6018" w:type="dxa"/>
            <w:vAlign w:val="center"/>
          </w:tcPr>
          <w:p>
            <w:pPr>
              <w:spacing w:line="240" w:lineRule="auto"/>
              <w:rPr>
                <w:rFonts w:ascii="Trebuchet MS" w:hAnsi="Trebuchet MS"/>
                <w:sz w:val="24"/>
              </w:rPr>
            </w:pPr>
            <w:r>
              <w:rPr>
                <w:rFonts w:ascii="Trebuchet MS" w:hAnsi="Trebuchet MS"/>
                <w:sz w:val="24"/>
              </w:rPr>
              <w:t>Sustenabilitatea va fi făcută de Societatea Locativa din subordinea Consiliului Local</w:t>
            </w:r>
          </w:p>
        </w:tc>
      </w:tr>
    </w:tbl>
    <w:p>
      <w:pPr>
        <w:spacing w:line="240" w:lineRule="auto"/>
        <w:rPr>
          <w:rFonts w:ascii="Trebuchet MS" w:hAnsi="Trebuchet MS"/>
        </w:rPr>
      </w:pPr>
    </w:p>
    <w:tbl>
      <w:tblPr>
        <w:tblW w:w="9434" w:type="dxa"/>
        <w:jc w:val="center"/>
        <w:tblLook w:val="04A0" w:firstRow="1" w:lastRow="0" w:firstColumn="1" w:lastColumn="0" w:noHBand="0" w:noVBand="1"/>
      </w:tblPr>
      <w:tblGrid>
        <w:gridCol w:w="487"/>
        <w:gridCol w:w="2769"/>
        <w:gridCol w:w="6178"/>
      </w:tblGrid>
      <w:tr>
        <w:trPr>
          <w:trHeight w:val="647"/>
          <w:jc w:val="center"/>
        </w:trPr>
        <w:tc>
          <w:tcPr>
            <w:tcW w:w="9434" w:type="dxa"/>
            <w:gridSpan w:val="3"/>
            <w:shd w:val="clear" w:color="auto" w:fill="B8CCE4" w:themeFill="accent1" w:themeFillTint="66"/>
            <w:vAlign w:val="center"/>
          </w:tcPr>
          <w:p>
            <w:pPr>
              <w:spacing w:line="240" w:lineRule="auto"/>
              <w:jc w:val="center"/>
              <w:rPr>
                <w:rFonts w:ascii="Trebuchet MS" w:hAnsi="Trebuchet MS"/>
                <w:b/>
                <w:sz w:val="24"/>
              </w:rPr>
            </w:pPr>
            <w:r>
              <w:rPr>
                <w:rFonts w:ascii="Trebuchet MS" w:hAnsi="Trebuchet MS"/>
                <w:b/>
                <w:sz w:val="24"/>
              </w:rPr>
              <w:t>Fișa intervenției #22 – Intervenție POR – Reabilitare centru comunitar integrat</w:t>
            </w:r>
          </w:p>
        </w:tc>
      </w:tr>
      <w:tr>
        <w:trPr>
          <w:trHeight w:val="647"/>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Regiune de dezvoltare</w:t>
            </w:r>
          </w:p>
          <w:p>
            <w:pPr>
              <w:spacing w:line="240" w:lineRule="auto"/>
              <w:rPr>
                <w:rFonts w:ascii="Trebuchet MS" w:hAnsi="Trebuchet MS"/>
                <w:b/>
                <w:sz w:val="24"/>
              </w:rPr>
            </w:pPr>
            <w:r>
              <w:rPr>
                <w:rFonts w:ascii="Trebuchet MS" w:hAnsi="Trebuchet MS"/>
                <w:b/>
                <w:sz w:val="24"/>
              </w:rPr>
              <w:t>Județ</w:t>
            </w:r>
          </w:p>
          <w:p>
            <w:pPr>
              <w:spacing w:line="240" w:lineRule="auto"/>
              <w:rPr>
                <w:rFonts w:ascii="Trebuchet MS" w:hAnsi="Trebuchet MS"/>
                <w:b/>
                <w:sz w:val="24"/>
              </w:rPr>
            </w:pPr>
            <w:r>
              <w:rPr>
                <w:rFonts w:ascii="Trebuchet MS" w:hAnsi="Trebuchet MS"/>
                <w:b/>
                <w:sz w:val="24"/>
              </w:rPr>
              <w:t>Oraș/municipiu</w:t>
            </w:r>
          </w:p>
        </w:tc>
        <w:tc>
          <w:tcPr>
            <w:tcW w:w="6178" w:type="dxa"/>
            <w:vAlign w:val="center"/>
          </w:tcPr>
          <w:p>
            <w:pPr>
              <w:spacing w:line="240" w:lineRule="auto"/>
              <w:rPr>
                <w:rFonts w:ascii="Trebuchet MS" w:hAnsi="Trebuchet MS"/>
                <w:sz w:val="24"/>
              </w:rPr>
            </w:pPr>
            <w:r>
              <w:rPr>
                <w:rFonts w:ascii="Trebuchet MS" w:hAnsi="Trebuchet MS"/>
                <w:sz w:val="24"/>
              </w:rPr>
              <w:t>Nord-Est</w:t>
            </w:r>
          </w:p>
          <w:p>
            <w:pPr>
              <w:spacing w:line="240" w:lineRule="auto"/>
              <w:rPr>
                <w:rFonts w:ascii="Trebuchet MS" w:hAnsi="Trebuchet MS"/>
                <w:sz w:val="24"/>
              </w:rPr>
            </w:pPr>
            <w:r>
              <w:rPr>
                <w:rFonts w:ascii="Trebuchet MS" w:hAnsi="Trebuchet MS"/>
                <w:sz w:val="24"/>
              </w:rPr>
              <w:t>Botoșani</w:t>
            </w:r>
          </w:p>
          <w:p>
            <w:pPr>
              <w:spacing w:line="240" w:lineRule="auto"/>
              <w:rPr>
                <w:rFonts w:ascii="Trebuchet MS" w:hAnsi="Trebuchet MS"/>
                <w:sz w:val="24"/>
              </w:rPr>
            </w:pPr>
            <w:r>
              <w:rPr>
                <w:rFonts w:ascii="Trebuchet MS" w:hAnsi="Trebuchet MS"/>
                <w:sz w:val="24"/>
              </w:rPr>
              <w:t>Botoșani</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Nume GAL</w:t>
            </w:r>
          </w:p>
        </w:tc>
        <w:tc>
          <w:tcPr>
            <w:tcW w:w="6178" w:type="dxa"/>
            <w:vAlign w:val="center"/>
          </w:tcPr>
          <w:p>
            <w:pPr>
              <w:spacing w:line="240" w:lineRule="auto"/>
              <w:rPr>
                <w:rFonts w:ascii="Trebuchet MS" w:hAnsi="Trebuchet MS"/>
                <w:sz w:val="24"/>
              </w:rPr>
            </w:pPr>
            <w:r>
              <w:rPr>
                <w:rFonts w:ascii="Trebuchet MS" w:hAnsi="Trebuchet MS"/>
                <w:sz w:val="24"/>
              </w:rPr>
              <w:t>GAL „Botoșani pentru viitor”</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Date de contact GAL</w:t>
            </w:r>
          </w:p>
        </w:tc>
        <w:tc>
          <w:tcPr>
            <w:tcW w:w="6178" w:type="dxa"/>
            <w:vAlign w:val="center"/>
          </w:tcPr>
          <w:p>
            <w:pPr>
              <w:spacing w:line="240" w:lineRule="auto"/>
              <w:rPr>
                <w:rFonts w:ascii="Trebuchet MS" w:hAnsi="Trebuchet MS"/>
                <w:sz w:val="24"/>
              </w:rPr>
            </w:pPr>
            <w:r>
              <w:rPr>
                <w:rFonts w:ascii="Trebuchet MS" w:hAnsi="Trebuchet MS"/>
                <w:sz w:val="24"/>
              </w:rPr>
              <w:t>Strada Poștei, nr. 9, etaj 2, camera 214, Botoșani</w:t>
            </w:r>
          </w:p>
          <w:p>
            <w:pPr>
              <w:spacing w:line="240" w:lineRule="auto"/>
              <w:rPr>
                <w:rFonts w:ascii="Trebuchet MS" w:hAnsi="Trebuchet MS"/>
                <w:sz w:val="24"/>
              </w:rPr>
            </w:pPr>
            <w:r>
              <w:rPr>
                <w:rFonts w:ascii="Trebuchet MS" w:hAnsi="Trebuchet MS"/>
                <w:sz w:val="24"/>
              </w:rPr>
              <w:t>galbotosani@gmail.com</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Teritoriul vizat de SDL</w:t>
            </w:r>
          </w:p>
        </w:tc>
        <w:tc>
          <w:tcPr>
            <w:tcW w:w="6178" w:type="dxa"/>
            <w:vAlign w:val="center"/>
          </w:tcPr>
          <w:p>
            <w:pPr>
              <w:spacing w:line="240" w:lineRule="auto"/>
              <w:rPr>
                <w:rFonts w:ascii="Trebuchet MS" w:hAnsi="Trebuchet MS"/>
                <w:sz w:val="24"/>
              </w:rPr>
            </w:pPr>
            <w:r>
              <w:rPr>
                <w:rFonts w:ascii="Trebuchet MS" w:hAnsi="Trebuchet MS"/>
                <w:sz w:val="24"/>
              </w:rPr>
              <w:t>ZUM Cartierul Tineretului</w:t>
            </w:r>
          </w:p>
          <w:p>
            <w:pPr>
              <w:spacing w:line="240" w:lineRule="auto"/>
              <w:rPr>
                <w:rFonts w:ascii="Trebuchet MS" w:hAnsi="Trebuchet MS"/>
                <w:sz w:val="24"/>
              </w:rPr>
            </w:pPr>
            <w:r>
              <w:rPr>
                <w:rFonts w:ascii="Trebuchet MS" w:hAnsi="Trebuchet MS"/>
                <w:sz w:val="24"/>
              </w:rPr>
              <w:t>ZUM Centrul Vechi</w:t>
            </w:r>
          </w:p>
          <w:p>
            <w:pPr>
              <w:spacing w:line="240" w:lineRule="auto"/>
              <w:rPr>
                <w:rFonts w:ascii="Trebuchet MS" w:hAnsi="Trebuchet MS"/>
                <w:sz w:val="24"/>
              </w:rPr>
            </w:pPr>
            <w:r>
              <w:rPr>
                <w:rFonts w:ascii="Trebuchet MS" w:hAnsi="Trebuchet MS"/>
                <w:sz w:val="24"/>
              </w:rPr>
              <w:t xml:space="preserve">ZUF – Nord – Strada Tomis, Str. Zimbrului, Str. Împărat Traian; </w:t>
            </w:r>
          </w:p>
          <w:p>
            <w:pPr>
              <w:spacing w:line="240" w:lineRule="auto"/>
              <w:rPr>
                <w:rFonts w:ascii="Trebuchet MS" w:hAnsi="Trebuchet MS"/>
                <w:sz w:val="24"/>
              </w:rPr>
            </w:pPr>
            <w:r>
              <w:rPr>
                <w:rFonts w:ascii="Trebuchet MS" w:hAnsi="Trebuchet MS"/>
                <w:sz w:val="24"/>
              </w:rPr>
              <w:t>Est – Str. Săvenilor nr. 33-59, Str. Tudor Vladimirescu nr. 12-96, Str. I.C. Brătianu nr. 40-52;</w:t>
            </w:r>
          </w:p>
          <w:p>
            <w:pPr>
              <w:spacing w:line="240" w:lineRule="auto"/>
              <w:rPr>
                <w:rFonts w:ascii="Trebuchet MS" w:hAnsi="Trebuchet MS"/>
                <w:sz w:val="24"/>
              </w:rPr>
            </w:pPr>
            <w:r>
              <w:rPr>
                <w:rFonts w:ascii="Trebuchet MS" w:hAnsi="Trebuchet MS"/>
                <w:sz w:val="24"/>
              </w:rPr>
              <w:t>Sud – Str. Petru Rareș, Str. Victoriei, Str. 1 Decembrie;</w:t>
            </w:r>
          </w:p>
          <w:p>
            <w:pPr>
              <w:spacing w:line="240" w:lineRule="auto"/>
              <w:rPr>
                <w:rFonts w:ascii="Trebuchet MS" w:hAnsi="Trebuchet MS"/>
                <w:sz w:val="24"/>
              </w:rPr>
            </w:pPr>
            <w:r>
              <w:rPr>
                <w:rFonts w:ascii="Trebuchet MS" w:hAnsi="Trebuchet MS"/>
                <w:sz w:val="24"/>
              </w:rPr>
              <w:t>Vest – Str. Octav Onicescu nr. 62-70, Str. Împărat Traian nr. 21, Str. Poporului nr. 1, Str. Libertății nr. 6 și 11-27, Str. Mușat Vodă nr. 25 și 38</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Titlul intervenției</w:t>
            </w:r>
          </w:p>
        </w:tc>
        <w:tc>
          <w:tcPr>
            <w:tcW w:w="6178" w:type="dxa"/>
            <w:vAlign w:val="center"/>
          </w:tcPr>
          <w:p>
            <w:pPr>
              <w:spacing w:line="240" w:lineRule="auto"/>
              <w:rPr>
                <w:rFonts w:ascii="Trebuchet MS" w:hAnsi="Trebuchet MS"/>
                <w:sz w:val="24"/>
              </w:rPr>
            </w:pPr>
            <w:r>
              <w:rPr>
                <w:rFonts w:ascii="Trebuchet MS" w:hAnsi="Trebuchet MS"/>
                <w:sz w:val="24"/>
              </w:rPr>
              <w:t>Reabilitare centru comunitar integrat</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Obiectivul specific SDL la atingerea căruia contribuie intervenția</w:t>
            </w:r>
          </w:p>
        </w:tc>
        <w:tc>
          <w:tcPr>
            <w:tcW w:w="6178" w:type="dxa"/>
            <w:vAlign w:val="center"/>
          </w:tcPr>
          <w:p>
            <w:pPr>
              <w:spacing w:line="240" w:lineRule="auto"/>
              <w:rPr>
                <w:rFonts w:ascii="Trebuchet MS" w:hAnsi="Trebuchet MS"/>
                <w:sz w:val="24"/>
              </w:rPr>
            </w:pPr>
            <w:r>
              <w:rPr>
                <w:rFonts w:ascii="Trebuchet MS" w:hAnsi="Trebuchet MS"/>
                <w:sz w:val="24"/>
              </w:rPr>
              <w:t>OS 6 – Dezvoltarea unui sistem de servicii sociale integrate, individualizate axat pe nevoile persoanelor marginalizate pentru cel puțin 840 de persoane, pe o perioadă de 3 ani</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Măsura din Planul de acțiune vizată prin intervenție</w:t>
            </w:r>
          </w:p>
        </w:tc>
        <w:tc>
          <w:tcPr>
            <w:tcW w:w="6178" w:type="dxa"/>
            <w:vAlign w:val="center"/>
          </w:tcPr>
          <w:p>
            <w:pPr>
              <w:spacing w:line="240" w:lineRule="auto"/>
              <w:rPr>
                <w:rFonts w:ascii="Trebuchet MS" w:hAnsi="Trebuchet MS"/>
                <w:sz w:val="24"/>
              </w:rPr>
            </w:pPr>
            <w:r>
              <w:rPr>
                <w:rFonts w:ascii="Trebuchet MS" w:hAnsi="Trebuchet MS"/>
                <w:sz w:val="24"/>
              </w:rPr>
              <w:t>Măsura 12 – Înființarea centrului comunitar și dezvoltarea de servicii integrate</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Justificarea intervenției</w:t>
            </w:r>
          </w:p>
        </w:tc>
        <w:tc>
          <w:tcPr>
            <w:tcW w:w="6178" w:type="dxa"/>
            <w:vAlign w:val="center"/>
          </w:tcPr>
          <w:p>
            <w:pPr>
              <w:spacing w:line="240" w:lineRule="auto"/>
              <w:rPr>
                <w:rFonts w:ascii="Trebuchet MS" w:hAnsi="Trebuchet MS"/>
                <w:sz w:val="24"/>
              </w:rPr>
            </w:pPr>
            <w:r>
              <w:rPr>
                <w:rFonts w:ascii="Trebuchet MS" w:hAnsi="Trebuchet MS"/>
                <w:sz w:val="24"/>
              </w:rPr>
              <w:t>Numărul mare de persoane din teritoriul SDL care nu au acces la servicii sociale sau medico-sociale</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Comunitatea marginalizată din teritoriu</w:t>
            </w:r>
          </w:p>
        </w:tc>
        <w:tc>
          <w:tcPr>
            <w:tcW w:w="6178" w:type="dxa"/>
            <w:vAlign w:val="center"/>
          </w:tcPr>
          <w:p>
            <w:pPr>
              <w:spacing w:line="240" w:lineRule="auto"/>
              <w:rPr>
                <w:rFonts w:ascii="Trebuchet MS" w:hAnsi="Trebuchet MS"/>
                <w:sz w:val="24"/>
              </w:rPr>
            </w:pPr>
            <w:r>
              <w:rPr>
                <w:rFonts w:ascii="Trebuchet MS" w:hAnsi="Trebuchet MS"/>
                <w:sz w:val="24"/>
              </w:rPr>
              <w:t>Roma și non-roma</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Grupuri țintă vizate (persoane aflate în risc de sărăcie și excluziune socială)</w:t>
            </w:r>
          </w:p>
        </w:tc>
        <w:tc>
          <w:tcPr>
            <w:tcW w:w="6178" w:type="dxa"/>
            <w:vAlign w:val="center"/>
          </w:tcPr>
          <w:p>
            <w:pPr>
              <w:spacing w:line="240" w:lineRule="auto"/>
              <w:rPr>
                <w:rFonts w:ascii="Trebuchet MS" w:hAnsi="Trebuchet MS"/>
                <w:sz w:val="24"/>
              </w:rPr>
            </w:pPr>
            <w:r>
              <w:rPr>
                <w:rFonts w:ascii="Trebuchet MS" w:hAnsi="Trebuchet MS"/>
                <w:sz w:val="24"/>
              </w:rPr>
              <w:t>Minim 740 persoane de toate vârstele din cele doua ZUM-uri si teritoriul SDL</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Durata estimată a intervenției</w:t>
            </w:r>
          </w:p>
        </w:tc>
        <w:tc>
          <w:tcPr>
            <w:tcW w:w="6178" w:type="dxa"/>
            <w:vAlign w:val="center"/>
          </w:tcPr>
          <w:p>
            <w:pPr>
              <w:spacing w:line="240" w:lineRule="auto"/>
              <w:rPr>
                <w:rFonts w:ascii="Trebuchet MS" w:hAnsi="Trebuchet MS"/>
                <w:sz w:val="24"/>
              </w:rPr>
            </w:pPr>
            <w:r>
              <w:rPr>
                <w:rFonts w:ascii="Trebuchet MS" w:hAnsi="Trebuchet MS"/>
                <w:sz w:val="24"/>
              </w:rPr>
              <w:t>36 luni</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Buget estimativ</w:t>
            </w:r>
          </w:p>
        </w:tc>
        <w:tc>
          <w:tcPr>
            <w:tcW w:w="6178" w:type="dxa"/>
            <w:vAlign w:val="center"/>
          </w:tcPr>
          <w:p>
            <w:pPr>
              <w:spacing w:line="240" w:lineRule="auto"/>
              <w:rPr>
                <w:rFonts w:ascii="Trebuchet MS" w:hAnsi="Trebuchet MS"/>
                <w:sz w:val="24"/>
              </w:rPr>
            </w:pPr>
            <w:r>
              <w:rPr>
                <w:rFonts w:ascii="Trebuchet MS" w:hAnsi="Trebuchet MS"/>
                <w:sz w:val="24"/>
              </w:rPr>
              <w:t>650000 Euro</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Surse de finanțare</w:t>
            </w:r>
          </w:p>
        </w:tc>
        <w:tc>
          <w:tcPr>
            <w:tcW w:w="6178" w:type="dxa"/>
            <w:vAlign w:val="center"/>
          </w:tcPr>
          <w:p>
            <w:pPr>
              <w:spacing w:line="240" w:lineRule="auto"/>
              <w:rPr>
                <w:rFonts w:ascii="Trebuchet MS" w:hAnsi="Trebuchet MS"/>
                <w:sz w:val="24"/>
              </w:rPr>
            </w:pPr>
            <w:r>
              <w:rPr>
                <w:rFonts w:ascii="Trebuchet MS" w:hAnsi="Trebuchet MS"/>
                <w:sz w:val="24"/>
              </w:rPr>
              <w:t>POR</w:t>
            </w:r>
          </w:p>
        </w:tc>
      </w:tr>
      <w:tr>
        <w:trPr>
          <w:trHeight w:val="389"/>
          <w:jc w:val="center"/>
        </w:trPr>
        <w:tc>
          <w:tcPr>
            <w:tcW w:w="487" w:type="dxa"/>
            <w:vAlign w:val="center"/>
          </w:tcPr>
          <w:p>
            <w:pPr>
              <w:pStyle w:val="ListParagraph"/>
              <w:numPr>
                <w:ilvl w:val="0"/>
                <w:numId w:val="19"/>
              </w:numPr>
              <w:spacing w:line="240" w:lineRule="auto"/>
              <w:rPr>
                <w:rFonts w:ascii="Trebuchet MS" w:hAnsi="Trebuchet MS"/>
                <w:b/>
              </w:rPr>
            </w:pPr>
          </w:p>
        </w:tc>
        <w:tc>
          <w:tcPr>
            <w:tcW w:w="2769" w:type="dxa"/>
            <w:vAlign w:val="center"/>
          </w:tcPr>
          <w:p>
            <w:pPr>
              <w:spacing w:line="240" w:lineRule="auto"/>
              <w:rPr>
                <w:rFonts w:ascii="Trebuchet MS" w:hAnsi="Trebuchet MS"/>
                <w:b/>
                <w:sz w:val="24"/>
              </w:rPr>
            </w:pPr>
            <w:r>
              <w:rPr>
                <w:rFonts w:ascii="Trebuchet MS" w:hAnsi="Trebuchet MS"/>
                <w:b/>
                <w:sz w:val="24"/>
              </w:rPr>
              <w:t>Sustenabilitatea intervenției după încheierea perioadei de finanțare DLRC</w:t>
            </w:r>
          </w:p>
        </w:tc>
        <w:tc>
          <w:tcPr>
            <w:tcW w:w="6178" w:type="dxa"/>
            <w:vAlign w:val="center"/>
          </w:tcPr>
          <w:p>
            <w:pPr>
              <w:spacing w:line="240" w:lineRule="auto"/>
              <w:rPr>
                <w:rFonts w:ascii="Trebuchet MS" w:hAnsi="Trebuchet MS"/>
                <w:sz w:val="24"/>
              </w:rPr>
            </w:pPr>
            <w:r>
              <w:rPr>
                <w:rFonts w:ascii="Trebuchet MS" w:hAnsi="Trebuchet MS"/>
                <w:sz w:val="24"/>
              </w:rPr>
              <w:t>Sustenabilitatea va fi făcută de Societatea Locativa din subordinea Consiliului Local</w:t>
            </w:r>
          </w:p>
        </w:tc>
      </w:tr>
    </w:tbl>
    <w:p>
      <w:pPr>
        <w:spacing w:line="240" w:lineRule="auto"/>
        <w:jc w:val="both"/>
        <w:rPr>
          <w:rFonts w:ascii="Trebuchet MS" w:eastAsia="SimSun" w:hAnsi="Trebuchet MS"/>
          <w:color w:val="C0504D" w:themeColor="accent2"/>
        </w:rPr>
      </w:pPr>
    </w:p>
    <w:p>
      <w:pPr>
        <w:spacing w:line="240" w:lineRule="auto"/>
        <w:rPr>
          <w:rFonts w:ascii="Trebuchet MS" w:hAnsi="Trebuchet MS"/>
        </w:rPr>
      </w:pPr>
    </w:p>
    <w:tbl>
      <w:tblPr>
        <w:tblW w:w="9575" w:type="dxa"/>
        <w:jc w:val="center"/>
        <w:tblLook w:val="04A0" w:firstRow="1" w:lastRow="0" w:firstColumn="1" w:lastColumn="0" w:noHBand="0" w:noVBand="1"/>
      </w:tblPr>
      <w:tblGrid>
        <w:gridCol w:w="494"/>
        <w:gridCol w:w="2810"/>
        <w:gridCol w:w="6271"/>
      </w:tblGrid>
      <w:tr>
        <w:trPr>
          <w:trHeight w:val="524"/>
          <w:jc w:val="center"/>
        </w:trPr>
        <w:tc>
          <w:tcPr>
            <w:tcW w:w="9575" w:type="dxa"/>
            <w:gridSpan w:val="3"/>
            <w:shd w:val="clear" w:color="auto" w:fill="B8CCE4" w:themeFill="accent1" w:themeFillTint="66"/>
            <w:vAlign w:val="center"/>
          </w:tcPr>
          <w:p>
            <w:pPr>
              <w:spacing w:line="240" w:lineRule="auto"/>
              <w:jc w:val="center"/>
              <w:rPr>
                <w:rFonts w:ascii="Trebuchet MS" w:hAnsi="Trebuchet MS"/>
                <w:b/>
                <w:sz w:val="24"/>
              </w:rPr>
            </w:pPr>
            <w:r>
              <w:rPr>
                <w:rFonts w:ascii="Trebuchet MS" w:hAnsi="Trebuchet MS"/>
                <w:b/>
                <w:sz w:val="24"/>
              </w:rPr>
              <w:t>Fișa intervenției #26 – Interventie POR - Amenajări ale spațiului urban degradat al comunității defavorizate – modernizare clădire pentru a găzdui activități social-comunitare, respectiv magazin social</w:t>
            </w:r>
          </w:p>
        </w:tc>
      </w:tr>
      <w:tr>
        <w:trPr>
          <w:trHeight w:val="52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Regiune de dezvoltare</w:t>
            </w:r>
          </w:p>
          <w:p>
            <w:pPr>
              <w:spacing w:line="240" w:lineRule="auto"/>
              <w:rPr>
                <w:rFonts w:ascii="Trebuchet MS" w:hAnsi="Trebuchet MS"/>
                <w:b/>
                <w:sz w:val="24"/>
              </w:rPr>
            </w:pPr>
            <w:r>
              <w:rPr>
                <w:rFonts w:ascii="Trebuchet MS" w:hAnsi="Trebuchet MS"/>
                <w:b/>
                <w:sz w:val="24"/>
              </w:rPr>
              <w:t>Județ</w:t>
            </w:r>
          </w:p>
          <w:p>
            <w:pPr>
              <w:spacing w:line="240" w:lineRule="auto"/>
              <w:rPr>
                <w:rFonts w:ascii="Trebuchet MS" w:hAnsi="Trebuchet MS"/>
                <w:b/>
                <w:sz w:val="24"/>
              </w:rPr>
            </w:pPr>
            <w:r>
              <w:rPr>
                <w:rFonts w:ascii="Trebuchet MS" w:hAnsi="Trebuchet MS"/>
                <w:b/>
                <w:sz w:val="24"/>
              </w:rPr>
              <w:t>Oraș/municipiu</w:t>
            </w:r>
          </w:p>
        </w:tc>
        <w:tc>
          <w:tcPr>
            <w:tcW w:w="6271" w:type="dxa"/>
            <w:vAlign w:val="center"/>
          </w:tcPr>
          <w:p>
            <w:pPr>
              <w:spacing w:line="240" w:lineRule="auto"/>
              <w:rPr>
                <w:rFonts w:ascii="Trebuchet MS" w:hAnsi="Trebuchet MS"/>
                <w:sz w:val="24"/>
              </w:rPr>
            </w:pPr>
            <w:r>
              <w:rPr>
                <w:rFonts w:ascii="Trebuchet MS" w:hAnsi="Trebuchet MS"/>
                <w:sz w:val="24"/>
              </w:rPr>
              <w:t>Nord-Est</w:t>
            </w:r>
          </w:p>
          <w:p>
            <w:pPr>
              <w:spacing w:line="240" w:lineRule="auto"/>
              <w:rPr>
                <w:rFonts w:ascii="Trebuchet MS" w:hAnsi="Trebuchet MS"/>
                <w:sz w:val="24"/>
              </w:rPr>
            </w:pPr>
            <w:r>
              <w:rPr>
                <w:rFonts w:ascii="Trebuchet MS" w:hAnsi="Trebuchet MS"/>
                <w:sz w:val="24"/>
              </w:rPr>
              <w:t>Botoșani</w:t>
            </w:r>
          </w:p>
          <w:p>
            <w:pPr>
              <w:spacing w:line="240" w:lineRule="auto"/>
              <w:rPr>
                <w:rFonts w:ascii="Trebuchet MS" w:hAnsi="Trebuchet MS"/>
                <w:sz w:val="24"/>
              </w:rPr>
            </w:pPr>
            <w:r>
              <w:rPr>
                <w:rFonts w:ascii="Trebuchet MS" w:hAnsi="Trebuchet MS"/>
                <w:sz w:val="24"/>
              </w:rPr>
              <w:t>Botoșani</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Nume GAL</w:t>
            </w:r>
          </w:p>
        </w:tc>
        <w:tc>
          <w:tcPr>
            <w:tcW w:w="6271" w:type="dxa"/>
            <w:vAlign w:val="center"/>
          </w:tcPr>
          <w:p>
            <w:pPr>
              <w:spacing w:line="240" w:lineRule="auto"/>
              <w:rPr>
                <w:rFonts w:ascii="Trebuchet MS" w:hAnsi="Trebuchet MS"/>
                <w:sz w:val="24"/>
              </w:rPr>
            </w:pPr>
            <w:r>
              <w:rPr>
                <w:rFonts w:ascii="Trebuchet MS" w:hAnsi="Trebuchet MS"/>
                <w:sz w:val="24"/>
              </w:rPr>
              <w:t>GAL „Botoșani pentru viitor”</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Date de contact GAL</w:t>
            </w:r>
          </w:p>
        </w:tc>
        <w:tc>
          <w:tcPr>
            <w:tcW w:w="6271" w:type="dxa"/>
            <w:vAlign w:val="center"/>
          </w:tcPr>
          <w:p>
            <w:pPr>
              <w:spacing w:line="240" w:lineRule="auto"/>
              <w:rPr>
                <w:rFonts w:ascii="Trebuchet MS" w:hAnsi="Trebuchet MS"/>
                <w:sz w:val="24"/>
              </w:rPr>
            </w:pPr>
            <w:r>
              <w:rPr>
                <w:rFonts w:ascii="Trebuchet MS" w:hAnsi="Trebuchet MS"/>
                <w:sz w:val="24"/>
              </w:rPr>
              <w:t>Strada Poștei, nr. 9, etaj 2, camera 214, Botoșani</w:t>
            </w:r>
          </w:p>
          <w:p>
            <w:pPr>
              <w:spacing w:line="240" w:lineRule="auto"/>
              <w:rPr>
                <w:rFonts w:ascii="Trebuchet MS" w:hAnsi="Trebuchet MS"/>
                <w:sz w:val="24"/>
              </w:rPr>
            </w:pPr>
            <w:r>
              <w:rPr>
                <w:rFonts w:ascii="Trebuchet MS" w:hAnsi="Trebuchet MS"/>
                <w:sz w:val="24"/>
              </w:rPr>
              <w:t>galbotosani@gmail.com</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Teritoriul vizat de SDL</w:t>
            </w:r>
          </w:p>
        </w:tc>
        <w:tc>
          <w:tcPr>
            <w:tcW w:w="6271" w:type="dxa"/>
            <w:vAlign w:val="center"/>
          </w:tcPr>
          <w:p>
            <w:pPr>
              <w:spacing w:line="240" w:lineRule="auto"/>
              <w:rPr>
                <w:rFonts w:ascii="Trebuchet MS" w:hAnsi="Trebuchet MS"/>
                <w:sz w:val="24"/>
              </w:rPr>
            </w:pPr>
            <w:r>
              <w:rPr>
                <w:rFonts w:ascii="Trebuchet MS" w:hAnsi="Trebuchet MS"/>
                <w:sz w:val="24"/>
              </w:rPr>
              <w:t>ZUM Cartierul Tineretului</w:t>
            </w:r>
          </w:p>
          <w:p>
            <w:pPr>
              <w:spacing w:line="240" w:lineRule="auto"/>
              <w:rPr>
                <w:rFonts w:ascii="Trebuchet MS" w:hAnsi="Trebuchet MS"/>
                <w:sz w:val="24"/>
              </w:rPr>
            </w:pPr>
            <w:r>
              <w:rPr>
                <w:rFonts w:ascii="Trebuchet MS" w:hAnsi="Trebuchet MS"/>
                <w:sz w:val="24"/>
              </w:rPr>
              <w:t>ZUM Centrul Vechi</w:t>
            </w:r>
          </w:p>
          <w:p>
            <w:pPr>
              <w:spacing w:line="240" w:lineRule="auto"/>
              <w:rPr>
                <w:rFonts w:ascii="Trebuchet MS" w:hAnsi="Trebuchet MS"/>
                <w:sz w:val="24"/>
              </w:rPr>
            </w:pPr>
            <w:r>
              <w:rPr>
                <w:rFonts w:ascii="Trebuchet MS" w:hAnsi="Trebuchet MS"/>
                <w:sz w:val="24"/>
              </w:rPr>
              <w:t xml:space="preserve">ZUF – Nord – Strada Tomis, Str. Zimbrului, Str. Împărat Traian; </w:t>
            </w:r>
          </w:p>
          <w:p>
            <w:pPr>
              <w:spacing w:line="240" w:lineRule="auto"/>
              <w:rPr>
                <w:rFonts w:ascii="Trebuchet MS" w:hAnsi="Trebuchet MS"/>
                <w:sz w:val="24"/>
              </w:rPr>
            </w:pPr>
            <w:r>
              <w:rPr>
                <w:rFonts w:ascii="Trebuchet MS" w:hAnsi="Trebuchet MS"/>
                <w:sz w:val="24"/>
              </w:rPr>
              <w:t>Est – Str. Săvenilor nr. 33-59, Str. Tudor Vladimirescu nr. 12-96, Str. I.C. Brătianu nr. 40-52;</w:t>
            </w:r>
          </w:p>
          <w:p>
            <w:pPr>
              <w:spacing w:line="240" w:lineRule="auto"/>
              <w:rPr>
                <w:rFonts w:ascii="Trebuchet MS" w:hAnsi="Trebuchet MS"/>
                <w:sz w:val="24"/>
              </w:rPr>
            </w:pPr>
            <w:r>
              <w:rPr>
                <w:rFonts w:ascii="Trebuchet MS" w:hAnsi="Trebuchet MS"/>
                <w:sz w:val="24"/>
              </w:rPr>
              <w:t>Sud – Str. Petru Rareș, Str. Victoriei, Str. 1 Decembrie;</w:t>
            </w:r>
          </w:p>
          <w:p>
            <w:pPr>
              <w:spacing w:line="240" w:lineRule="auto"/>
              <w:rPr>
                <w:rFonts w:ascii="Trebuchet MS" w:hAnsi="Trebuchet MS"/>
                <w:sz w:val="24"/>
              </w:rPr>
            </w:pPr>
            <w:r>
              <w:rPr>
                <w:rFonts w:ascii="Trebuchet MS" w:hAnsi="Trebuchet MS"/>
                <w:sz w:val="24"/>
              </w:rPr>
              <w:t xml:space="preserve">Vest – Str. Octav Onicescu nr. 62-70, Str. Împărat Traian nr. 21, Str. Poporului nr. 1, Str. Libertății nr. 6 </w:t>
            </w:r>
            <w:r>
              <w:rPr>
                <w:rFonts w:ascii="Trebuchet MS" w:hAnsi="Trebuchet MS"/>
                <w:sz w:val="24"/>
              </w:rPr>
              <w:lastRenderedPageBreak/>
              <w:t>și 11-27, Str. Mușat Vodă nr. 25 și 38</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Titlul intervenției</w:t>
            </w:r>
          </w:p>
        </w:tc>
        <w:tc>
          <w:tcPr>
            <w:tcW w:w="6271" w:type="dxa"/>
            <w:vAlign w:val="center"/>
          </w:tcPr>
          <w:p>
            <w:pPr>
              <w:spacing w:line="240" w:lineRule="auto"/>
              <w:rPr>
                <w:rFonts w:ascii="Trebuchet MS" w:hAnsi="Trebuchet MS"/>
                <w:sz w:val="24"/>
              </w:rPr>
            </w:pPr>
            <w:r>
              <w:rPr>
                <w:rFonts w:ascii="Trebuchet MS" w:hAnsi="Trebuchet MS"/>
                <w:sz w:val="24"/>
              </w:rPr>
              <w:t>Amenajări ale spațiului urban degradat al comunității defavorizate – modernizare clădire pentru a găzdui activități social-comunitare, respectiv magazin social</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Obiectivul specific SDL la atingerea căruia contribuie intervenția</w:t>
            </w:r>
          </w:p>
        </w:tc>
        <w:tc>
          <w:tcPr>
            <w:tcW w:w="6271" w:type="dxa"/>
            <w:vAlign w:val="center"/>
          </w:tcPr>
          <w:p>
            <w:pPr>
              <w:spacing w:line="240" w:lineRule="auto"/>
              <w:rPr>
                <w:rFonts w:ascii="Trebuchet MS" w:hAnsi="Trebuchet MS"/>
                <w:sz w:val="24"/>
              </w:rPr>
            </w:pPr>
            <w:r>
              <w:rPr>
                <w:rFonts w:ascii="Trebuchet MS" w:hAnsi="Trebuchet MS"/>
                <w:sz w:val="24"/>
              </w:rPr>
              <w:t>OS 7 – Îmbunătățirea imaginii zonei și creșterea gradului de coeziune socială pentru peste 500 de locuitori din teritoriul SDL pe o perioada de 3 ani</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Măsura din Planul de acțiune vizată prin intervenție</w:t>
            </w:r>
          </w:p>
        </w:tc>
        <w:tc>
          <w:tcPr>
            <w:tcW w:w="6271" w:type="dxa"/>
            <w:vAlign w:val="center"/>
          </w:tcPr>
          <w:p>
            <w:pPr>
              <w:spacing w:line="240" w:lineRule="auto"/>
              <w:rPr>
                <w:rFonts w:ascii="Trebuchet MS" w:hAnsi="Trebuchet MS"/>
                <w:sz w:val="24"/>
              </w:rPr>
            </w:pPr>
            <w:r>
              <w:rPr>
                <w:rFonts w:ascii="Trebuchet MS" w:hAnsi="Trebuchet MS"/>
                <w:sz w:val="24"/>
              </w:rPr>
              <w:t>Măsura 15 – Înființarea unui magazin social</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Justificarea intervenției</w:t>
            </w:r>
          </w:p>
        </w:tc>
        <w:tc>
          <w:tcPr>
            <w:tcW w:w="6271" w:type="dxa"/>
            <w:vAlign w:val="center"/>
          </w:tcPr>
          <w:p>
            <w:pPr>
              <w:spacing w:line="240" w:lineRule="auto"/>
              <w:rPr>
                <w:rFonts w:ascii="Trebuchet MS" w:hAnsi="Trebuchet MS"/>
                <w:sz w:val="24"/>
              </w:rPr>
            </w:pPr>
            <w:r>
              <w:rPr>
                <w:rFonts w:ascii="Trebuchet MS" w:hAnsi="Trebuchet MS"/>
                <w:sz w:val="24"/>
              </w:rPr>
              <w:t>În orice comunitate există persoane care doresc să doneze lucruri. Acest magazin este gândit ca un spațiu în care locuitorii din Botoșani să își aducă lucrurile de care nu mai au nevoie și pe care doresc să le doneze, lucruri care pot fi `</w:t>
            </w:r>
            <w:r>
              <w:rPr>
                <w:rFonts w:ascii="Trebuchet MS" w:hAnsi="Trebuchet MS"/>
                <w:i/>
                <w:sz w:val="24"/>
              </w:rPr>
              <w:t>vândute`</w:t>
            </w:r>
            <w:r>
              <w:rPr>
                <w:rFonts w:ascii="Trebuchet MS" w:hAnsi="Trebuchet MS"/>
                <w:sz w:val="24"/>
              </w:rPr>
              <w:t>persoanelor nevoiașe în schimbul unor ore de muncă în folosul comunității. Inițiativa este justificată de numărul mare de persoane de pe teritoriul SDL fără posibilități materiale care pot oferi ore de muncă în folosul comunității în schimbul unor produse de strictă necesitate.</w:t>
            </w:r>
          </w:p>
          <w:p>
            <w:pPr>
              <w:spacing w:line="240" w:lineRule="auto"/>
              <w:rPr>
                <w:rFonts w:ascii="Trebuchet MS" w:hAnsi="Trebuchet MS"/>
                <w:sz w:val="24"/>
              </w:rPr>
            </w:pPr>
            <w:r>
              <w:rPr>
                <w:rFonts w:ascii="Trebuchet MS" w:hAnsi="Trebuchet MS"/>
                <w:sz w:val="24"/>
              </w:rPr>
              <w:t>Creșterea coeziunii sociale.</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Comunitatea marginalizată din teritoriu</w:t>
            </w:r>
          </w:p>
        </w:tc>
        <w:tc>
          <w:tcPr>
            <w:tcW w:w="6271" w:type="dxa"/>
            <w:vAlign w:val="center"/>
          </w:tcPr>
          <w:p>
            <w:pPr>
              <w:spacing w:line="240" w:lineRule="auto"/>
              <w:rPr>
                <w:rFonts w:ascii="Trebuchet MS" w:hAnsi="Trebuchet MS"/>
                <w:sz w:val="24"/>
              </w:rPr>
            </w:pPr>
            <w:r>
              <w:rPr>
                <w:rFonts w:ascii="Trebuchet MS" w:hAnsi="Trebuchet MS"/>
                <w:sz w:val="24"/>
              </w:rPr>
              <w:t>Roma și non-roma</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Grupuri țintă vizate (persoane aflate în risc de sărăcie și excluziune socială)</w:t>
            </w:r>
          </w:p>
        </w:tc>
        <w:tc>
          <w:tcPr>
            <w:tcW w:w="6271" w:type="dxa"/>
            <w:vAlign w:val="center"/>
          </w:tcPr>
          <w:p>
            <w:pPr>
              <w:spacing w:line="240" w:lineRule="auto"/>
              <w:rPr>
                <w:rFonts w:ascii="Trebuchet MS" w:hAnsi="Trebuchet MS"/>
                <w:sz w:val="24"/>
              </w:rPr>
            </w:pPr>
            <w:r>
              <w:rPr>
                <w:rFonts w:ascii="Trebuchet MS" w:hAnsi="Trebuchet MS"/>
                <w:sz w:val="24"/>
              </w:rPr>
              <w:t>Peste 100 de persoane din cele doua ZUM-uri</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Durata estimată a intervenției</w:t>
            </w:r>
          </w:p>
        </w:tc>
        <w:tc>
          <w:tcPr>
            <w:tcW w:w="6271" w:type="dxa"/>
            <w:vAlign w:val="center"/>
          </w:tcPr>
          <w:p>
            <w:pPr>
              <w:spacing w:line="240" w:lineRule="auto"/>
              <w:rPr>
                <w:rFonts w:ascii="Trebuchet MS" w:hAnsi="Trebuchet MS"/>
                <w:sz w:val="24"/>
              </w:rPr>
            </w:pPr>
            <w:r>
              <w:rPr>
                <w:rFonts w:ascii="Trebuchet MS" w:hAnsi="Trebuchet MS"/>
                <w:sz w:val="24"/>
              </w:rPr>
              <w:t>36 luni</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Buget estimativ</w:t>
            </w:r>
          </w:p>
        </w:tc>
        <w:tc>
          <w:tcPr>
            <w:tcW w:w="6271" w:type="dxa"/>
            <w:vAlign w:val="center"/>
          </w:tcPr>
          <w:p>
            <w:pPr>
              <w:spacing w:line="240" w:lineRule="auto"/>
              <w:rPr>
                <w:rFonts w:ascii="Trebuchet MS" w:hAnsi="Trebuchet MS"/>
                <w:sz w:val="24"/>
              </w:rPr>
            </w:pPr>
            <w:r>
              <w:rPr>
                <w:rFonts w:ascii="Trebuchet MS" w:hAnsi="Trebuchet MS"/>
                <w:sz w:val="24"/>
              </w:rPr>
              <w:t>50000 Euro</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Surse de finanțare</w:t>
            </w:r>
          </w:p>
        </w:tc>
        <w:tc>
          <w:tcPr>
            <w:tcW w:w="6271" w:type="dxa"/>
            <w:vAlign w:val="center"/>
          </w:tcPr>
          <w:p>
            <w:pPr>
              <w:spacing w:line="240" w:lineRule="auto"/>
              <w:rPr>
                <w:rFonts w:ascii="Trebuchet MS" w:hAnsi="Trebuchet MS"/>
                <w:color w:val="1F497D" w:themeColor="text2"/>
                <w:sz w:val="24"/>
              </w:rPr>
            </w:pPr>
            <w:r>
              <w:rPr>
                <w:rFonts w:ascii="Trebuchet MS" w:hAnsi="Trebuchet MS"/>
                <w:color w:val="1F497D" w:themeColor="text2"/>
                <w:sz w:val="24"/>
              </w:rPr>
              <w:t xml:space="preserve">POR </w:t>
            </w:r>
          </w:p>
        </w:tc>
      </w:tr>
      <w:tr>
        <w:trPr>
          <w:trHeight w:val="314"/>
          <w:jc w:val="center"/>
        </w:trPr>
        <w:tc>
          <w:tcPr>
            <w:tcW w:w="494" w:type="dxa"/>
            <w:vAlign w:val="center"/>
          </w:tcPr>
          <w:p>
            <w:pPr>
              <w:pStyle w:val="ListParagraph"/>
              <w:numPr>
                <w:ilvl w:val="0"/>
                <w:numId w:val="21"/>
              </w:numPr>
              <w:spacing w:line="240" w:lineRule="auto"/>
              <w:rPr>
                <w:rFonts w:ascii="Trebuchet MS" w:hAnsi="Trebuchet MS"/>
                <w:b/>
              </w:rPr>
            </w:pPr>
          </w:p>
        </w:tc>
        <w:tc>
          <w:tcPr>
            <w:tcW w:w="2810" w:type="dxa"/>
            <w:vAlign w:val="center"/>
          </w:tcPr>
          <w:p>
            <w:pPr>
              <w:spacing w:line="240" w:lineRule="auto"/>
              <w:rPr>
                <w:rFonts w:ascii="Trebuchet MS" w:hAnsi="Trebuchet MS"/>
                <w:b/>
                <w:sz w:val="24"/>
              </w:rPr>
            </w:pPr>
            <w:r>
              <w:rPr>
                <w:rFonts w:ascii="Trebuchet MS" w:hAnsi="Trebuchet MS"/>
                <w:b/>
                <w:sz w:val="24"/>
              </w:rPr>
              <w:t xml:space="preserve">Sustenabilitatea intervenției după </w:t>
            </w:r>
            <w:r>
              <w:rPr>
                <w:rFonts w:ascii="Trebuchet MS" w:hAnsi="Trebuchet MS"/>
                <w:b/>
                <w:sz w:val="24"/>
              </w:rPr>
              <w:lastRenderedPageBreak/>
              <w:t>încheierea perioadei de finanțare DLRC</w:t>
            </w:r>
          </w:p>
        </w:tc>
        <w:tc>
          <w:tcPr>
            <w:tcW w:w="6271" w:type="dxa"/>
            <w:vAlign w:val="center"/>
          </w:tcPr>
          <w:p>
            <w:pPr>
              <w:spacing w:line="240" w:lineRule="auto"/>
              <w:rPr>
                <w:rFonts w:ascii="Trebuchet MS" w:hAnsi="Trebuchet MS"/>
                <w:sz w:val="24"/>
              </w:rPr>
            </w:pPr>
            <w:r>
              <w:rPr>
                <w:rFonts w:ascii="Trebuchet MS" w:hAnsi="Trebuchet MS"/>
                <w:sz w:val="24"/>
              </w:rPr>
              <w:lastRenderedPageBreak/>
              <w:t>Sustenabilitatea va fi asigurată de Consiliul Local</w:t>
            </w:r>
          </w:p>
        </w:tc>
      </w:tr>
    </w:tbl>
    <w:p>
      <w:pPr>
        <w:spacing w:after="0" w:line="240" w:lineRule="auto"/>
        <w:rPr>
          <w:rFonts w:ascii="Trebuchet MS" w:hAnsi="Trebuchet MS"/>
        </w:rPr>
      </w:pPr>
    </w:p>
    <w:p>
      <w:pPr>
        <w:pStyle w:val="Heading3"/>
        <w:spacing w:before="0" w:line="240" w:lineRule="auto"/>
        <w:jc w:val="both"/>
        <w:rPr>
          <w:rFonts w:ascii="Trebuchet MS" w:hAnsi="Trebuchet MS"/>
          <w:bCs w:val="0"/>
          <w:i/>
          <w:noProof/>
          <w:color w:val="auto"/>
        </w:rPr>
      </w:pPr>
      <w:bookmarkStart w:id="27" w:name="_Toc41298491"/>
      <w:r>
        <w:rPr>
          <w:rFonts w:ascii="Trebuchet MS" w:hAnsi="Trebuchet MS"/>
          <w:bCs w:val="0"/>
          <w:i/>
          <w:noProof/>
          <w:color w:val="auto"/>
        </w:rPr>
        <w:t>Secțiunea 3.2.5 Respectarea principiilor privind dezvoltarea durabilă, egalitatea de gen și nediscriminarea</w:t>
      </w:r>
      <w:bookmarkEnd w:id="27"/>
    </w:p>
    <w:p>
      <w:pPr>
        <w:spacing w:after="0"/>
        <w:rPr>
          <w:rFonts w:ascii="Trebuchet MS" w:hAnsi="Trebuchet MS"/>
        </w:rPr>
      </w:pPr>
    </w:p>
    <w:p>
      <w:pPr>
        <w:spacing w:after="120" w:line="240" w:lineRule="auto"/>
        <w:jc w:val="both"/>
        <w:rPr>
          <w:rFonts w:ascii="Trebuchet MS" w:hAnsi="Trebuchet MS" w:cs="Calibri"/>
          <w:bCs/>
          <w:lang w:val="ro-RO"/>
        </w:rPr>
      </w:pPr>
      <w:r>
        <w:rPr>
          <w:rFonts w:ascii="Trebuchet MS" w:hAnsi="Trebuchet MS" w:cs="Calibri"/>
          <w:bCs/>
          <w:lang w:val="ro-RO"/>
        </w:rPr>
        <w:t>În procesul de pregătire, contractare, implementare şi valabilitate a contractului de finanţare, solicitantul va respecta:</w:t>
      </w:r>
    </w:p>
    <w:p>
      <w:pPr>
        <w:spacing w:after="120" w:line="240" w:lineRule="auto"/>
        <w:jc w:val="both"/>
        <w:rPr>
          <w:rFonts w:ascii="Trebuchet MS" w:hAnsi="Trebuchet MS" w:cs="Calibri"/>
          <w:bCs/>
          <w:lang w:val="ro-RO"/>
        </w:rPr>
      </w:pPr>
      <w:r>
        <w:rPr>
          <w:rFonts w:ascii="Trebuchet MS" w:hAnsi="Trebuchet MS" w:cs="Calibri"/>
          <w:bCs/>
          <w:lang w:val="ro-RO"/>
        </w:rPr>
        <w:t>1. legislaţia naţională şi comunitară aplicabilă în domeniul egalităţii de şanse, de gen, nediscriminare, accesibilitate;</w:t>
      </w:r>
    </w:p>
    <w:p>
      <w:pPr>
        <w:spacing w:after="120" w:line="240" w:lineRule="auto"/>
        <w:jc w:val="both"/>
        <w:rPr>
          <w:rFonts w:ascii="Trebuchet MS" w:hAnsi="Trebuchet MS" w:cs="Calibri"/>
          <w:bCs/>
          <w:lang w:val="ro-RO"/>
        </w:rPr>
      </w:pPr>
      <w:r>
        <w:rPr>
          <w:rFonts w:ascii="Trebuchet MS" w:hAnsi="Trebuchet MS" w:cs="Calibri"/>
          <w:bCs/>
          <w:lang w:val="ro-RO"/>
        </w:rPr>
        <w:t>2. legislaţia naţională şi comunitară aplicabilă în domeniul dezvoltării durabile, protecţiei mediului şieficienţei energetice.</w:t>
      </w:r>
    </w:p>
    <w:p>
      <w:pPr>
        <w:spacing w:after="120" w:line="240" w:lineRule="auto"/>
        <w:jc w:val="both"/>
        <w:rPr>
          <w:rFonts w:ascii="Trebuchet MS" w:hAnsi="Trebuchet MS" w:cs="Calibri"/>
          <w:bCs/>
          <w:lang w:val="ro-RO"/>
        </w:rPr>
      </w:pPr>
      <w:r>
        <w:rPr>
          <w:rFonts w:ascii="Trebuchet MS" w:hAnsi="Trebuchet MS" w:cs="Calibri"/>
          <w:bCs/>
          <w:lang w:val="ro-RO"/>
        </w:rPr>
        <w:t xml:space="preserve">Solicitantul va declara în cadrul Declaraţiei de angajament că va respecta obligaţiile prevăzute în legislaţia comunitară şinaţională în domeniul dezvoltării durabile, egalităţii de şanse şi nediscriminării. </w:t>
      </w:r>
    </w:p>
    <w:p>
      <w:pPr>
        <w:spacing w:after="120" w:line="240" w:lineRule="auto"/>
        <w:jc w:val="both"/>
        <w:rPr>
          <w:rFonts w:ascii="Trebuchet MS" w:hAnsi="Trebuchet MS" w:cs="Calibri"/>
          <w:bCs/>
          <w:lang w:val="ro-RO"/>
        </w:rPr>
      </w:pPr>
      <w:r>
        <w:rPr>
          <w:rFonts w:ascii="Trebuchet MS" w:hAnsi="Trebuchet MS" w:cs="Calibri"/>
          <w:bCs/>
          <w:lang w:val="ro-RO"/>
        </w:rPr>
        <w:t>Pentru stabilirea abordării optime a respectării acestor principii, se recomandă lucrarea „Ghid privind integrarea temelor orizontale in cadrul proiectelor finantate din Fondurile ESI 2014-2020”, realizat de Ministerul Fondurilor Europene , unde la anexa 2 a primului volum şi la anexa 2 la al doilea volum este listată legislaţia naţională relevantă.</w:t>
      </w:r>
    </w:p>
    <w:p>
      <w:pPr>
        <w:spacing w:after="120" w:line="240" w:lineRule="auto"/>
        <w:jc w:val="both"/>
        <w:rPr>
          <w:rFonts w:ascii="Trebuchet MS" w:hAnsi="Trebuchet MS" w:cs="Calibri"/>
          <w:bCs/>
          <w:lang w:val="ro-RO"/>
        </w:rPr>
      </w:pPr>
      <w:r>
        <w:rPr>
          <w:rFonts w:ascii="Trebuchet MS" w:hAnsi="Trebuchet MS" w:cs="Calibri"/>
          <w:bCs/>
          <w:lang w:val="ro-RO"/>
        </w:rPr>
        <w:t>Solicitantul va descrie în secțiunea relevantă din Fisa de proiect, modul în care sunt respectate obligațiile prevăzute de legislația specifică aplicabilă, precum și alte acțiuni suplimentare (dacă este cazul).</w:t>
      </w:r>
    </w:p>
    <w:p>
      <w:pPr>
        <w:spacing w:after="0" w:line="240" w:lineRule="auto"/>
        <w:jc w:val="both"/>
        <w:rPr>
          <w:rFonts w:ascii="Trebuchet MS" w:hAnsi="Trebuchet MS" w:cs="Calibri"/>
          <w:bCs/>
          <w:lang w:val="ro-RO"/>
        </w:rPr>
      </w:pPr>
    </w:p>
    <w:p>
      <w:pPr>
        <w:pStyle w:val="Heading3"/>
        <w:spacing w:before="0" w:line="240" w:lineRule="auto"/>
        <w:jc w:val="both"/>
        <w:rPr>
          <w:rFonts w:ascii="Trebuchet MS" w:hAnsi="Trebuchet MS"/>
          <w:bCs w:val="0"/>
          <w:i/>
          <w:noProof/>
          <w:color w:val="auto"/>
        </w:rPr>
      </w:pPr>
      <w:bookmarkStart w:id="28" w:name="_Toc41298492"/>
      <w:bookmarkStart w:id="29" w:name="_Toc22832109"/>
      <w:r>
        <w:rPr>
          <w:rFonts w:ascii="Trebuchet MS" w:hAnsi="Trebuchet MS"/>
          <w:bCs w:val="0"/>
          <w:i/>
          <w:noProof/>
          <w:color w:val="auto"/>
        </w:rPr>
        <w:t>Secțiunea 3.2.6 Durata de implementare a actvităților fișei de proiect</w:t>
      </w:r>
      <w:bookmarkEnd w:id="28"/>
    </w:p>
    <w:p>
      <w:pPr>
        <w:pStyle w:val="Heading3"/>
        <w:spacing w:before="0" w:line="240" w:lineRule="auto"/>
        <w:jc w:val="both"/>
        <w:rPr>
          <w:rFonts w:ascii="Trebuchet MS" w:hAnsi="Trebuchet MS" w:cs="Calibri"/>
          <w:color w:val="auto"/>
          <w:lang w:val="ro-RO"/>
        </w:rPr>
      </w:pPr>
    </w:p>
    <w:bookmarkEnd w:id="29"/>
    <w:p>
      <w:pPr>
        <w:spacing w:after="120" w:line="240" w:lineRule="auto"/>
        <w:jc w:val="both"/>
        <w:rPr>
          <w:rFonts w:ascii="Trebuchet MS" w:hAnsi="Trebuchet MS" w:cs="Calibri"/>
          <w:bCs/>
          <w:lang w:val="ro-RO"/>
        </w:rPr>
      </w:pPr>
      <w:r>
        <w:rPr>
          <w:rFonts w:ascii="Trebuchet MS" w:hAnsi="Trebuchet MS" w:cs="Calibri"/>
          <w:bCs/>
          <w:lang w:val="ro-RO"/>
        </w:rPr>
        <w:t xml:space="preserve">Durata proiectului reprezintă perioada de implementare a activităților proiectului și anume perioada cuprinsă între data semnării contractului de finanțare și data finalizării ultimei activități prevăzute în cadrul proiectului. </w:t>
      </w:r>
    </w:p>
    <w:p>
      <w:pPr>
        <w:spacing w:after="120" w:line="240" w:lineRule="auto"/>
        <w:jc w:val="both"/>
        <w:rPr>
          <w:rFonts w:ascii="Trebuchet MS" w:hAnsi="Trebuchet MS" w:cs="Calibri"/>
          <w:bCs/>
          <w:lang w:val="ro-RO"/>
        </w:rPr>
      </w:pPr>
      <w:r>
        <w:rPr>
          <w:rFonts w:ascii="Trebuchet MS" w:hAnsi="Trebuchet MS" w:cs="Calibri"/>
          <w:bCs/>
          <w:lang w:val="ro-RO"/>
        </w:rPr>
        <w:t>Durata efectivă de implementare se va calcula luând în considerare durata tuturor activităților/subactivităților din fișa de proiect.</w:t>
      </w:r>
    </w:p>
    <w:p>
      <w:pPr>
        <w:spacing w:after="120" w:line="240" w:lineRule="auto"/>
        <w:jc w:val="both"/>
        <w:rPr>
          <w:rFonts w:ascii="Trebuchet MS" w:hAnsi="Trebuchet MS" w:cs="Calibri"/>
          <w:bCs/>
          <w:lang w:val="ro-RO"/>
        </w:rPr>
      </w:pPr>
      <w:r>
        <w:rPr>
          <w:rFonts w:ascii="Trebuchet MS" w:hAnsi="Trebuchet MS" w:cs="Calibri"/>
          <w:bCs/>
          <w:lang w:val="ro-RO"/>
        </w:rPr>
        <w:t>Durata proiectelor pentru care se solicită finanțare în cadrul acestui apel de fișe de proiecte și nu trebuie sădepasească data 31 decembrie 2023.</w:t>
      </w:r>
    </w:p>
    <w:p>
      <w:pPr>
        <w:spacing w:after="120" w:line="240" w:lineRule="auto"/>
        <w:jc w:val="both"/>
        <w:rPr>
          <w:rFonts w:ascii="Trebuchet MS" w:hAnsi="Trebuchet MS" w:cs="Calibri"/>
          <w:bCs/>
          <w:lang w:val="ro-RO"/>
        </w:rPr>
      </w:pPr>
    </w:p>
    <w:p>
      <w:pPr>
        <w:pStyle w:val="Heading3"/>
        <w:spacing w:before="0" w:line="240" w:lineRule="auto"/>
        <w:jc w:val="both"/>
        <w:rPr>
          <w:rFonts w:ascii="Trebuchet MS" w:hAnsi="Trebuchet MS"/>
          <w:bCs w:val="0"/>
          <w:i/>
          <w:noProof/>
          <w:color w:val="auto"/>
        </w:rPr>
      </w:pPr>
      <w:bookmarkStart w:id="30" w:name="_Toc41298493"/>
      <w:r>
        <w:rPr>
          <w:rFonts w:ascii="Trebuchet MS" w:hAnsi="Trebuchet MS"/>
          <w:bCs w:val="0"/>
          <w:i/>
          <w:noProof/>
          <w:color w:val="auto"/>
        </w:rPr>
        <w:t>Secțiunea 3.2.7 Care este valoarea minimă eligibilă a unui proiect și maximă eligibilă a unui pachet de proiecte?</w:t>
      </w:r>
      <w:bookmarkEnd w:id="30"/>
    </w:p>
    <w:p/>
    <w:p>
      <w:pPr>
        <w:shd w:val="clear" w:color="auto" w:fill="FFFFFF"/>
        <w:spacing w:line="240" w:lineRule="auto"/>
        <w:jc w:val="both"/>
        <w:rPr>
          <w:rFonts w:ascii="Trebuchet MS" w:hAnsi="Trebuchet MS" w:cs="Arial"/>
          <w:b/>
        </w:rPr>
      </w:pPr>
      <w:r>
        <w:rPr>
          <w:rFonts w:ascii="Trebuchet MS" w:hAnsi="Trebuchet MS" w:cs="Arial"/>
          <w:b/>
          <w:color w:val="000000" w:themeColor="text1"/>
        </w:rPr>
        <w:t xml:space="preserve">La nivelul acestui apel, valoarea totală maximă eligibilă a pachetului de proiecte de infrastructură, respectiv valoarea apelului de fișe de proiecte, este de </w:t>
      </w:r>
      <w:r>
        <w:rPr>
          <w:rFonts w:ascii="Trebuchet MS" w:hAnsi="Trebuchet MS" w:cs="Tahoma"/>
          <w:b/>
          <w:color w:val="000000" w:themeColor="text1"/>
        </w:rPr>
        <w:t xml:space="preserve">2.810 000 </w:t>
      </w:r>
      <w:r>
        <w:rPr>
          <w:rFonts w:ascii="Trebuchet MS" w:hAnsi="Trebuchet MS" w:cs="Tahoma"/>
          <w:b/>
        </w:rPr>
        <w:t>euro</w:t>
      </w:r>
      <w:r>
        <w:rPr>
          <w:rFonts w:ascii="Trebuchet MS" w:hAnsi="Trebuchet MS" w:cs="Arial"/>
          <w:b/>
        </w:rPr>
        <w:t xml:space="preserve">, </w:t>
      </w:r>
      <w:r>
        <w:rPr>
          <w:rFonts w:ascii="Trebuchet MS" w:hAnsi="Trebuchet MS" w:cs="Arial"/>
          <w:b/>
        </w:rPr>
        <w:lastRenderedPageBreak/>
        <w:t>in conformitate cu bugetul  FEDR si cofinanțare națională (contribuția de la bugetul de stat și cofinanțare proprie), asa cum a fost aprobat prin SDL selectata pentru finantare, in cadrul bugetului SDL.</w:t>
      </w:r>
    </w:p>
    <w:p>
      <w:pPr>
        <w:shd w:val="clear" w:color="auto" w:fill="FFFFFF"/>
        <w:spacing w:line="240" w:lineRule="auto"/>
        <w:jc w:val="both"/>
        <w:rPr>
          <w:rFonts w:ascii="Trebuchet MS" w:hAnsi="Trebuchet MS" w:cs="Arial"/>
          <w:b/>
          <w:iCs/>
          <w:shd w:val="clear" w:color="auto" w:fill="FFFFFF"/>
        </w:rPr>
      </w:pPr>
      <w:r>
        <w:rPr>
          <w:rFonts w:ascii="Trebuchet MS" w:hAnsi="Trebuchet MS" w:cs="Arial"/>
          <w:b/>
          <w:iCs/>
          <w:shd w:val="clear" w:color="auto" w:fill="FFFFFF"/>
        </w:rPr>
        <w:t xml:space="preserve"> O fisa de proiect integrat, poate combina mai multe  interventii, cu respectarea limitelor maxime financiare  prezentate mai jos.</w:t>
      </w:r>
    </w:p>
    <w:p>
      <w:pPr>
        <w:shd w:val="clear" w:color="auto" w:fill="FFFFFF"/>
        <w:spacing w:line="240" w:lineRule="auto"/>
        <w:jc w:val="both"/>
        <w:rPr>
          <w:rFonts w:ascii="Trebuchet MS" w:hAnsi="Trebuchet MS" w:cs="Arial"/>
          <w:b/>
          <w:iCs/>
          <w:shd w:val="clear" w:color="auto" w:fill="FFFFFF"/>
        </w:rPr>
      </w:pPr>
    </w:p>
    <w:tbl>
      <w:tblPr>
        <w:tblStyle w:val="TableGrid"/>
        <w:tblW w:w="0" w:type="auto"/>
        <w:tblLook w:val="04A0" w:firstRow="1" w:lastRow="0" w:firstColumn="1" w:lastColumn="0" w:noHBand="0" w:noVBand="1"/>
      </w:tblPr>
      <w:tblGrid>
        <w:gridCol w:w="816"/>
        <w:gridCol w:w="1873"/>
        <w:gridCol w:w="2799"/>
        <w:gridCol w:w="1830"/>
        <w:gridCol w:w="1924"/>
      </w:tblGrid>
      <w:tr>
        <w:trPr>
          <w:gridAfter w:val="1"/>
          <w:wAfter w:w="1924" w:type="dxa"/>
        </w:trPr>
        <w:tc>
          <w:tcPr>
            <w:tcW w:w="816" w:type="dxa"/>
          </w:tcPr>
          <w:p>
            <w:pPr>
              <w:rPr>
                <w:rFonts w:ascii="Trebuchet MS" w:hAnsi="Trebuchet MS" w:cs="Arial"/>
              </w:rPr>
            </w:pPr>
            <w:r>
              <w:rPr>
                <w:rFonts w:ascii="Trebuchet MS" w:hAnsi="Trebuchet MS" w:cs="Arial"/>
              </w:rPr>
              <w:t>Nr crt</w:t>
            </w:r>
          </w:p>
        </w:tc>
        <w:tc>
          <w:tcPr>
            <w:tcW w:w="1873" w:type="dxa"/>
          </w:tcPr>
          <w:p>
            <w:pPr>
              <w:rPr>
                <w:rFonts w:ascii="Trebuchet MS" w:hAnsi="Trebuchet MS" w:cs="Arial"/>
              </w:rPr>
            </w:pPr>
            <w:r>
              <w:rPr>
                <w:rFonts w:ascii="Trebuchet MS" w:hAnsi="Trebuchet MS" w:cs="Arial"/>
              </w:rPr>
              <w:t>Masura/ Obiectiv specific</w:t>
            </w:r>
          </w:p>
        </w:tc>
        <w:tc>
          <w:tcPr>
            <w:tcW w:w="2799" w:type="dxa"/>
          </w:tcPr>
          <w:p>
            <w:pPr>
              <w:rPr>
                <w:rFonts w:ascii="Trebuchet MS" w:hAnsi="Trebuchet MS" w:cs="Arial"/>
              </w:rPr>
            </w:pPr>
            <w:r>
              <w:rPr>
                <w:rFonts w:ascii="Trebuchet MS" w:hAnsi="Trebuchet MS" w:cs="Arial"/>
              </w:rPr>
              <w:t xml:space="preserve">Tip de investitie / Interventia </w:t>
            </w:r>
          </w:p>
        </w:tc>
        <w:tc>
          <w:tcPr>
            <w:tcW w:w="1830" w:type="dxa"/>
          </w:tcPr>
          <w:p>
            <w:pPr>
              <w:rPr>
                <w:rFonts w:ascii="Trebuchet MS" w:hAnsi="Trebuchet MS" w:cs="Arial"/>
              </w:rPr>
            </w:pPr>
            <w:r>
              <w:rPr>
                <w:rFonts w:ascii="Trebuchet MS" w:hAnsi="Trebuchet MS" w:cs="Arial"/>
              </w:rPr>
              <w:t>Alocare financiara maxima ( euro)</w:t>
            </w:r>
          </w:p>
        </w:tc>
      </w:tr>
      <w:tr>
        <w:trPr>
          <w:gridAfter w:val="1"/>
          <w:wAfter w:w="1924" w:type="dxa"/>
        </w:trPr>
        <w:tc>
          <w:tcPr>
            <w:tcW w:w="816" w:type="dxa"/>
          </w:tcPr>
          <w:p>
            <w:pPr>
              <w:rPr>
                <w:rFonts w:ascii="Trebuchet MS" w:hAnsi="Trebuchet MS" w:cs="Arial"/>
              </w:rPr>
            </w:pPr>
            <w:r>
              <w:rPr>
                <w:rFonts w:ascii="Trebuchet MS" w:hAnsi="Trebuchet MS" w:cs="Arial"/>
              </w:rPr>
              <w:t>1</w:t>
            </w:r>
          </w:p>
        </w:tc>
        <w:tc>
          <w:tcPr>
            <w:tcW w:w="1873" w:type="dxa"/>
          </w:tcPr>
          <w:p>
            <w:pPr>
              <w:rPr>
                <w:rFonts w:ascii="Trebuchet MS" w:hAnsi="Trebuchet MS"/>
              </w:rPr>
            </w:pPr>
            <w:r>
              <w:rPr>
                <w:rFonts w:ascii="Trebuchet MS" w:hAnsi="Trebuchet MS"/>
              </w:rPr>
              <w:t>Măsura 2 – Creșterea numărului de spații de recreere pentru locuitorii din zona SDL</w:t>
            </w:r>
          </w:p>
          <w:p>
            <w:pPr>
              <w:rPr>
                <w:rFonts w:ascii="Trebuchet MS" w:hAnsi="Trebuchet MS" w:cs="Arial"/>
              </w:rPr>
            </w:pPr>
            <w:r>
              <w:rPr>
                <w:rFonts w:ascii="Trebuchet MS" w:hAnsi="Trebuchet MS"/>
              </w:rPr>
              <w:t>OS 2</w:t>
            </w:r>
          </w:p>
        </w:tc>
        <w:tc>
          <w:tcPr>
            <w:tcW w:w="2799" w:type="dxa"/>
          </w:tcPr>
          <w:p>
            <w:pPr>
              <w:rPr>
                <w:rFonts w:ascii="Trebuchet MS" w:hAnsi="Trebuchet MS" w:cs="Arial"/>
              </w:rPr>
            </w:pPr>
            <w:r>
              <w:rPr>
                <w:rFonts w:ascii="Trebuchet MS" w:hAnsi="Trebuchet MS"/>
                <w:b/>
              </w:rPr>
              <w:t>Intervenție POR</w:t>
            </w:r>
            <w:r>
              <w:rPr>
                <w:rFonts w:ascii="Trebuchet MS" w:hAnsi="Trebuchet MS"/>
              </w:rPr>
              <w:t xml:space="preserve"> – Amenajare spații recreere în  ZUM Centrul Vechi și  ZUM Parcul Tineretului</w:t>
            </w:r>
          </w:p>
        </w:tc>
        <w:tc>
          <w:tcPr>
            <w:tcW w:w="1830" w:type="dxa"/>
          </w:tcPr>
          <w:p>
            <w:pPr>
              <w:rPr>
                <w:rFonts w:ascii="Trebuchet MS" w:hAnsi="Trebuchet MS" w:cs="Arial"/>
              </w:rPr>
            </w:pPr>
            <w:r>
              <w:rPr>
                <w:rFonts w:ascii="Trebuchet MS" w:hAnsi="Trebuchet MS"/>
                <w:bCs/>
              </w:rPr>
              <w:t>15 000 euro</w:t>
            </w:r>
          </w:p>
        </w:tc>
      </w:tr>
      <w:tr>
        <w:trPr>
          <w:gridAfter w:val="1"/>
          <w:wAfter w:w="1924" w:type="dxa"/>
        </w:trPr>
        <w:tc>
          <w:tcPr>
            <w:tcW w:w="816" w:type="dxa"/>
          </w:tcPr>
          <w:p>
            <w:pPr>
              <w:rPr>
                <w:rFonts w:ascii="Trebuchet MS" w:hAnsi="Trebuchet MS" w:cs="Arial"/>
              </w:rPr>
            </w:pPr>
            <w:r>
              <w:rPr>
                <w:rFonts w:ascii="Trebuchet MS" w:hAnsi="Trebuchet MS" w:cs="Arial"/>
              </w:rPr>
              <w:t>2</w:t>
            </w:r>
          </w:p>
        </w:tc>
        <w:tc>
          <w:tcPr>
            <w:tcW w:w="1873" w:type="dxa"/>
          </w:tcPr>
          <w:p>
            <w:pPr>
              <w:rPr>
                <w:rFonts w:ascii="Trebuchet MS" w:hAnsi="Trebuchet MS"/>
              </w:rPr>
            </w:pPr>
            <w:r>
              <w:rPr>
                <w:rFonts w:ascii="Trebuchet MS" w:hAnsi="Trebuchet MS"/>
              </w:rPr>
              <w:t>Măsura 3 – Realizarea amenajării peisagistice a teritoriului SDL, inclusiv a sensurilor giratorii</w:t>
            </w:r>
          </w:p>
          <w:p>
            <w:pPr>
              <w:rPr>
                <w:rFonts w:ascii="Trebuchet MS" w:hAnsi="Trebuchet MS" w:cs="Arial"/>
              </w:rPr>
            </w:pPr>
            <w:r>
              <w:rPr>
                <w:rFonts w:ascii="Trebuchet MS" w:hAnsi="Trebuchet MS" w:cs="Arial"/>
              </w:rPr>
              <w:t>OS.2</w:t>
            </w:r>
          </w:p>
        </w:tc>
        <w:tc>
          <w:tcPr>
            <w:tcW w:w="2799" w:type="dxa"/>
          </w:tcPr>
          <w:p>
            <w:pPr>
              <w:rPr>
                <w:rFonts w:ascii="Trebuchet MS" w:hAnsi="Trebuchet MS" w:cs="Arial"/>
              </w:rPr>
            </w:pPr>
            <w:r>
              <w:rPr>
                <w:rFonts w:ascii="Trebuchet MS" w:hAnsi="Trebuchet MS"/>
                <w:b/>
              </w:rPr>
              <w:t>Intervenție POR</w:t>
            </w:r>
            <w:r>
              <w:rPr>
                <w:rFonts w:ascii="Trebuchet MS" w:hAnsi="Trebuchet MS"/>
              </w:rPr>
              <w:t xml:space="preserve"> – Amenajare peisagistică a teritoriului SDL, inclusiv a sensurilor giratorii</w:t>
            </w:r>
          </w:p>
        </w:tc>
        <w:tc>
          <w:tcPr>
            <w:tcW w:w="1830" w:type="dxa"/>
          </w:tcPr>
          <w:p>
            <w:pPr>
              <w:rPr>
                <w:rFonts w:ascii="Trebuchet MS" w:hAnsi="Trebuchet MS" w:cs="Arial"/>
              </w:rPr>
            </w:pPr>
            <w:r>
              <w:rPr>
                <w:rFonts w:ascii="Trebuchet MS" w:hAnsi="Trebuchet MS"/>
                <w:bCs/>
              </w:rPr>
              <w:t>195 000 euro</w:t>
            </w:r>
          </w:p>
        </w:tc>
      </w:tr>
      <w:tr>
        <w:trPr>
          <w:gridAfter w:val="1"/>
          <w:wAfter w:w="1924" w:type="dxa"/>
        </w:trPr>
        <w:tc>
          <w:tcPr>
            <w:tcW w:w="816" w:type="dxa"/>
          </w:tcPr>
          <w:p>
            <w:pPr>
              <w:rPr>
                <w:rFonts w:ascii="Trebuchet MS" w:hAnsi="Trebuchet MS" w:cs="Arial"/>
              </w:rPr>
            </w:pPr>
            <w:r>
              <w:rPr>
                <w:rFonts w:ascii="Trebuchet MS" w:hAnsi="Trebuchet MS" w:cs="Arial"/>
              </w:rPr>
              <w:t>3</w:t>
            </w:r>
          </w:p>
        </w:tc>
        <w:tc>
          <w:tcPr>
            <w:tcW w:w="1873" w:type="dxa"/>
          </w:tcPr>
          <w:p>
            <w:pPr>
              <w:rPr>
                <w:rFonts w:ascii="Trebuchet MS" w:hAnsi="Trebuchet MS"/>
              </w:rPr>
            </w:pPr>
            <w:r>
              <w:rPr>
                <w:rFonts w:ascii="Trebuchet MS" w:hAnsi="Trebuchet MS"/>
              </w:rPr>
              <w:t>Măsura 6 – Îmbunătățirea condițiilor de locuit în ZUM Centrul Istoric</w:t>
            </w:r>
          </w:p>
          <w:p>
            <w:pPr>
              <w:rPr>
                <w:rFonts w:ascii="Trebuchet MS" w:hAnsi="Trebuchet MS" w:cs="Arial"/>
              </w:rPr>
            </w:pPr>
            <w:r>
              <w:rPr>
                <w:rFonts w:ascii="Trebuchet MS" w:hAnsi="Trebuchet MS" w:cs="Arial"/>
              </w:rPr>
              <w:t>OS 3</w:t>
            </w:r>
          </w:p>
        </w:tc>
        <w:tc>
          <w:tcPr>
            <w:tcW w:w="2799" w:type="dxa"/>
          </w:tcPr>
          <w:p>
            <w:pPr>
              <w:rPr>
                <w:rFonts w:ascii="Trebuchet MS" w:hAnsi="Trebuchet MS" w:cs="Arial"/>
              </w:rPr>
            </w:pPr>
            <w:r>
              <w:rPr>
                <w:rFonts w:ascii="Trebuchet MS" w:hAnsi="Trebuchet MS"/>
                <w:b/>
              </w:rPr>
              <w:t>Intervenție POR</w:t>
            </w:r>
            <w:r>
              <w:rPr>
                <w:rFonts w:ascii="Trebuchet MS" w:hAnsi="Trebuchet MS"/>
              </w:rPr>
              <w:t xml:space="preserve"> – Reabilitare locuințe sociale (fațade, acoperiș, grupuri sanitare, recompartimentare, reabilitarea spațiilor comune, instalații electrice, tamplărie, igienizare interioară)</w:t>
            </w:r>
          </w:p>
        </w:tc>
        <w:tc>
          <w:tcPr>
            <w:tcW w:w="1830" w:type="dxa"/>
          </w:tcPr>
          <w:p>
            <w:pPr>
              <w:rPr>
                <w:rFonts w:ascii="Trebuchet MS" w:hAnsi="Trebuchet MS" w:cs="Arial"/>
              </w:rPr>
            </w:pPr>
            <w:r>
              <w:rPr>
                <w:rFonts w:ascii="Trebuchet MS" w:hAnsi="Trebuchet MS"/>
                <w:bCs/>
              </w:rPr>
              <w:t>1 700 000 euro</w:t>
            </w:r>
          </w:p>
        </w:tc>
      </w:tr>
      <w:tr>
        <w:trPr>
          <w:gridAfter w:val="1"/>
          <w:wAfter w:w="1924" w:type="dxa"/>
        </w:trPr>
        <w:tc>
          <w:tcPr>
            <w:tcW w:w="816" w:type="dxa"/>
          </w:tcPr>
          <w:p>
            <w:pPr>
              <w:rPr>
                <w:rFonts w:ascii="Trebuchet MS" w:hAnsi="Trebuchet MS" w:cs="Arial"/>
              </w:rPr>
            </w:pPr>
            <w:r>
              <w:rPr>
                <w:rFonts w:ascii="Trebuchet MS" w:hAnsi="Trebuchet MS" w:cs="Arial"/>
              </w:rPr>
              <w:t>4</w:t>
            </w:r>
          </w:p>
        </w:tc>
        <w:tc>
          <w:tcPr>
            <w:tcW w:w="1873" w:type="dxa"/>
          </w:tcPr>
          <w:p>
            <w:pPr>
              <w:rPr>
                <w:rFonts w:ascii="Trebuchet MS" w:hAnsi="Trebuchet MS"/>
              </w:rPr>
            </w:pPr>
            <w:r>
              <w:rPr>
                <w:rFonts w:ascii="Trebuchet MS" w:hAnsi="Trebuchet MS"/>
              </w:rPr>
              <w:t xml:space="preserve">Măsura 7 – Creșterea accesului la servicii de ocupare prin furnizarea de servicii de informare, </w:t>
            </w:r>
            <w:r>
              <w:rPr>
                <w:rFonts w:ascii="Trebuchet MS" w:hAnsi="Trebuchet MS"/>
              </w:rPr>
              <w:lastRenderedPageBreak/>
              <w:t>consiliere și mediere</w:t>
            </w:r>
          </w:p>
          <w:p>
            <w:pPr>
              <w:rPr>
                <w:rFonts w:ascii="Trebuchet MS" w:hAnsi="Trebuchet MS"/>
                <w:b/>
                <w:color w:val="1F497D" w:themeColor="text2"/>
              </w:rPr>
            </w:pPr>
            <w:r>
              <w:rPr>
                <w:rFonts w:ascii="Trebuchet MS" w:hAnsi="Trebuchet MS"/>
              </w:rPr>
              <w:t>OS 4</w:t>
            </w:r>
          </w:p>
        </w:tc>
        <w:tc>
          <w:tcPr>
            <w:tcW w:w="2799" w:type="dxa"/>
          </w:tcPr>
          <w:p>
            <w:pPr>
              <w:rPr>
                <w:rFonts w:ascii="Trebuchet MS" w:hAnsi="Trebuchet MS"/>
                <w:b/>
              </w:rPr>
            </w:pPr>
            <w:r>
              <w:rPr>
                <w:rFonts w:ascii="Trebuchet MS" w:hAnsi="Trebuchet MS"/>
                <w:b/>
              </w:rPr>
              <w:lastRenderedPageBreak/>
              <w:t>Intervenție POR</w:t>
            </w:r>
            <w:r>
              <w:rPr>
                <w:rFonts w:ascii="Trebuchet MS" w:hAnsi="Trebuchet MS"/>
              </w:rPr>
              <w:t xml:space="preserve"> – Reabilitarea spațiului în care se vor derula serviciile de ocupare și calificare</w:t>
            </w:r>
          </w:p>
        </w:tc>
        <w:tc>
          <w:tcPr>
            <w:tcW w:w="1830" w:type="dxa"/>
          </w:tcPr>
          <w:p>
            <w:pPr>
              <w:rPr>
                <w:rFonts w:ascii="Trebuchet MS" w:hAnsi="Trebuchet MS"/>
                <w:bCs/>
              </w:rPr>
            </w:pPr>
            <w:r>
              <w:rPr>
                <w:rFonts w:ascii="Trebuchet MS" w:hAnsi="Trebuchet MS"/>
                <w:bCs/>
              </w:rPr>
              <w:t>200 000 euro</w:t>
            </w:r>
          </w:p>
        </w:tc>
      </w:tr>
      <w:tr>
        <w:trPr>
          <w:gridAfter w:val="1"/>
          <w:wAfter w:w="1924" w:type="dxa"/>
          <w:trHeight w:val="2375"/>
        </w:trPr>
        <w:tc>
          <w:tcPr>
            <w:tcW w:w="816" w:type="dxa"/>
          </w:tcPr>
          <w:p>
            <w:pPr>
              <w:rPr>
                <w:rFonts w:ascii="Trebuchet MS" w:hAnsi="Trebuchet MS" w:cs="Arial"/>
              </w:rPr>
            </w:pPr>
            <w:r>
              <w:rPr>
                <w:rFonts w:ascii="Trebuchet MS" w:hAnsi="Trebuchet MS" w:cs="Arial"/>
              </w:rPr>
              <w:t>5</w:t>
            </w:r>
          </w:p>
        </w:tc>
        <w:tc>
          <w:tcPr>
            <w:tcW w:w="1873" w:type="dxa"/>
          </w:tcPr>
          <w:p>
            <w:pPr>
              <w:rPr>
                <w:rFonts w:ascii="Trebuchet MS" w:hAnsi="Trebuchet MS"/>
              </w:rPr>
            </w:pPr>
            <w:r>
              <w:rPr>
                <w:rFonts w:ascii="Trebuchet MS" w:hAnsi="Trebuchet MS"/>
              </w:rPr>
              <w:t>Măsura 12 – Înființarea centrului comunitar și dezvoltarea de servicii integrate</w:t>
            </w:r>
          </w:p>
          <w:p>
            <w:pPr>
              <w:rPr>
                <w:rFonts w:ascii="Trebuchet MS" w:hAnsi="Trebuchet MS" w:cs="Arial"/>
              </w:rPr>
            </w:pPr>
            <w:r>
              <w:rPr>
                <w:rFonts w:ascii="Trebuchet MS" w:hAnsi="Trebuchet MS"/>
              </w:rPr>
              <w:t>OS 6</w:t>
            </w:r>
          </w:p>
        </w:tc>
        <w:tc>
          <w:tcPr>
            <w:tcW w:w="2799" w:type="dxa"/>
          </w:tcPr>
          <w:p>
            <w:pPr>
              <w:rPr>
                <w:rFonts w:ascii="Trebuchet MS" w:hAnsi="Trebuchet MS" w:cs="Arial"/>
              </w:rPr>
            </w:pPr>
            <w:r>
              <w:rPr>
                <w:rFonts w:ascii="Trebuchet MS" w:hAnsi="Trebuchet MS"/>
                <w:b/>
              </w:rPr>
              <w:t>Intervenție POR</w:t>
            </w:r>
            <w:r>
              <w:rPr>
                <w:rFonts w:ascii="Trebuchet MS" w:hAnsi="Trebuchet MS"/>
              </w:rPr>
              <w:t xml:space="preserve"> – Reabilitare Centru Comunitar Integrat</w:t>
            </w:r>
          </w:p>
        </w:tc>
        <w:tc>
          <w:tcPr>
            <w:tcW w:w="1830" w:type="dxa"/>
          </w:tcPr>
          <w:p>
            <w:pPr>
              <w:rPr>
                <w:rFonts w:ascii="Trebuchet MS" w:hAnsi="Trebuchet MS" w:cs="Arial"/>
              </w:rPr>
            </w:pPr>
            <w:r>
              <w:rPr>
                <w:rFonts w:ascii="Trebuchet MS" w:hAnsi="Trebuchet MS"/>
                <w:bCs/>
              </w:rPr>
              <w:t>650 000 euro</w:t>
            </w:r>
          </w:p>
        </w:tc>
      </w:tr>
      <w:tr>
        <w:trPr>
          <w:gridAfter w:val="1"/>
          <w:wAfter w:w="1924" w:type="dxa"/>
        </w:trPr>
        <w:tc>
          <w:tcPr>
            <w:tcW w:w="816" w:type="dxa"/>
          </w:tcPr>
          <w:p>
            <w:pPr>
              <w:rPr>
                <w:rFonts w:ascii="Trebuchet MS" w:hAnsi="Trebuchet MS" w:cs="Arial"/>
              </w:rPr>
            </w:pPr>
            <w:r>
              <w:rPr>
                <w:rFonts w:ascii="Trebuchet MS" w:hAnsi="Trebuchet MS" w:cs="Arial"/>
              </w:rPr>
              <w:t>6</w:t>
            </w:r>
          </w:p>
        </w:tc>
        <w:tc>
          <w:tcPr>
            <w:tcW w:w="1873" w:type="dxa"/>
          </w:tcPr>
          <w:p>
            <w:pPr>
              <w:rPr>
                <w:rFonts w:ascii="Trebuchet MS" w:hAnsi="Trebuchet MS"/>
              </w:rPr>
            </w:pPr>
            <w:r>
              <w:rPr>
                <w:rFonts w:ascii="Trebuchet MS" w:hAnsi="Trebuchet MS"/>
              </w:rPr>
              <w:t>Măsura 15 – Înființarea unui magazin social</w:t>
            </w:r>
          </w:p>
          <w:p>
            <w:pPr>
              <w:rPr>
                <w:rFonts w:ascii="Trebuchet MS" w:hAnsi="Trebuchet MS" w:cs="Arial"/>
              </w:rPr>
            </w:pPr>
            <w:r>
              <w:rPr>
                <w:rFonts w:ascii="Trebuchet MS" w:hAnsi="Trebuchet MS" w:cs="Arial"/>
              </w:rPr>
              <w:t>OS 7</w:t>
            </w:r>
          </w:p>
        </w:tc>
        <w:tc>
          <w:tcPr>
            <w:tcW w:w="2799" w:type="dxa"/>
          </w:tcPr>
          <w:p>
            <w:pPr>
              <w:rPr>
                <w:rFonts w:ascii="Trebuchet MS" w:hAnsi="Trebuchet MS" w:cs="Arial"/>
              </w:rPr>
            </w:pPr>
            <w:r>
              <w:rPr>
                <w:rFonts w:ascii="Trebuchet MS" w:hAnsi="Trebuchet MS"/>
                <w:b/>
              </w:rPr>
              <w:t>Intervenție POR</w:t>
            </w:r>
            <w:r>
              <w:rPr>
                <w:rFonts w:ascii="Trebuchet MS" w:hAnsi="Trebuchet MS"/>
              </w:rPr>
              <w:t xml:space="preserve"> – Amenajari ale spatiului urban degradat, al comunitatii defavorizate – modernizare cladire pentru a gazdui activitati social-comunitare, respectiv magazin social</w:t>
            </w:r>
          </w:p>
        </w:tc>
        <w:tc>
          <w:tcPr>
            <w:tcW w:w="1830" w:type="dxa"/>
          </w:tcPr>
          <w:p>
            <w:pPr>
              <w:rPr>
                <w:rFonts w:ascii="Trebuchet MS" w:hAnsi="Trebuchet MS" w:cs="Arial"/>
              </w:rPr>
            </w:pPr>
            <w:r>
              <w:rPr>
                <w:rFonts w:ascii="Trebuchet MS" w:hAnsi="Trebuchet MS"/>
                <w:bCs/>
              </w:rPr>
              <w:t>50 000 euro</w:t>
            </w:r>
          </w:p>
        </w:tc>
      </w:tr>
      <w:tr>
        <w:tc>
          <w:tcPr>
            <w:tcW w:w="9242" w:type="dxa"/>
            <w:gridSpan w:val="5"/>
          </w:tcPr>
          <w:p>
            <w:pPr>
              <w:shd w:val="clear" w:color="auto" w:fill="FFFFFF"/>
              <w:spacing w:line="270" w:lineRule="atLeast"/>
              <w:jc w:val="center"/>
              <w:rPr>
                <w:rFonts w:ascii="Trebuchet MS" w:hAnsi="Trebuchet MS" w:cs="Arial"/>
                <w:b/>
              </w:rPr>
            </w:pPr>
            <w:r>
              <w:rPr>
                <w:rFonts w:ascii="Trebuchet MS" w:hAnsi="Trebuchet MS" w:cs="Arial"/>
                <w:b/>
              </w:rPr>
              <w:t xml:space="preserve">Valoarea totala maxima eligibila a pachetului de fise  proiecte, pentru apelul </w:t>
            </w:r>
          </w:p>
          <w:p>
            <w:pPr>
              <w:shd w:val="clear" w:color="auto" w:fill="FFFFFF"/>
              <w:spacing w:line="270" w:lineRule="atLeast"/>
              <w:jc w:val="center"/>
              <w:rPr>
                <w:rFonts w:ascii="Trebuchet MS" w:hAnsi="Trebuchet MS" w:cs="Arial"/>
                <w:b/>
              </w:rPr>
            </w:pPr>
            <w:r>
              <w:rPr>
                <w:rFonts w:ascii="Trebuchet MS" w:hAnsi="Trebuchet MS" w:cs="Arial"/>
                <w:b/>
              </w:rPr>
              <w:t>POR/GAL BOTOSANI PENTRU VIITOR/2020/9/2/OS9.1</w:t>
            </w:r>
          </w:p>
          <w:p>
            <w:pPr>
              <w:shd w:val="clear" w:color="auto" w:fill="FFFFFF"/>
              <w:spacing w:line="270" w:lineRule="atLeast"/>
              <w:jc w:val="center"/>
              <w:rPr>
                <w:rFonts w:ascii="Trebuchet MS" w:hAnsi="Trebuchet MS" w:cs="Arial"/>
                <w:b/>
              </w:rPr>
            </w:pPr>
            <w:r>
              <w:rPr>
                <w:rFonts w:ascii="Trebuchet MS" w:hAnsi="Trebuchet MS" w:cs="Tahoma"/>
                <w:b/>
                <w:color w:val="FF0000"/>
              </w:rPr>
              <w:t xml:space="preserve"> este de 2.810.000 euro</w:t>
            </w:r>
          </w:p>
          <w:p>
            <w:pPr>
              <w:rPr>
                <w:rFonts w:ascii="Trebuchet MS" w:hAnsi="Trebuchet MS" w:cs="Arial"/>
                <w:b/>
              </w:rPr>
            </w:pPr>
          </w:p>
        </w:tc>
      </w:tr>
    </w:tbl>
    <w:p>
      <w:pPr>
        <w:shd w:val="clear" w:color="auto" w:fill="FFFFFF"/>
        <w:spacing w:line="240" w:lineRule="auto"/>
        <w:ind w:left="360"/>
        <w:jc w:val="both"/>
        <w:rPr>
          <w:rFonts w:ascii="Trebuchet MS" w:hAnsi="Trebuchet MS" w:cs="Arial"/>
          <w:iCs/>
          <w:color w:val="1F497D" w:themeColor="text2"/>
          <w:sz w:val="24"/>
          <w:szCs w:val="24"/>
          <w:shd w:val="clear" w:color="auto" w:fill="FFFFFF"/>
        </w:rPr>
      </w:pPr>
    </w:p>
    <w:tbl>
      <w:tblPr>
        <w:tblW w:w="0" w:type="auto"/>
        <w:tblLook w:val="04A0" w:firstRow="1" w:lastRow="0" w:firstColumn="1" w:lastColumn="0" w:noHBand="0" w:noVBand="1"/>
      </w:tblPr>
      <w:tblGrid>
        <w:gridCol w:w="9242"/>
      </w:tblGrid>
      <w:tr>
        <w:trPr>
          <w:trHeight w:val="1677"/>
        </w:trPr>
        <w:tc>
          <w:tcPr>
            <w:tcW w:w="9242" w:type="dxa"/>
          </w:tcPr>
          <w:p>
            <w:pPr>
              <w:shd w:val="clear" w:color="auto" w:fill="FFFFFF"/>
              <w:spacing w:line="240" w:lineRule="auto"/>
              <w:jc w:val="both"/>
              <w:rPr>
                <w:rFonts w:ascii="Trebuchet MS" w:hAnsi="Trebuchet MS" w:cs="Arial"/>
                <w:color w:val="1F497D" w:themeColor="text2"/>
                <w:shd w:val="clear" w:color="auto" w:fill="FFFFFF"/>
              </w:rPr>
            </w:pPr>
          </w:p>
          <w:p>
            <w:pPr>
              <w:shd w:val="clear" w:color="auto" w:fill="FFFFFF"/>
              <w:spacing w:line="240" w:lineRule="auto"/>
              <w:jc w:val="both"/>
              <w:rPr>
                <w:rFonts w:ascii="Trebuchet MS" w:hAnsi="Trebuchet MS" w:cs="Arial"/>
                <w:b/>
                <w:i/>
                <w:iCs/>
                <w:shd w:val="clear" w:color="auto" w:fill="FFFFFF"/>
              </w:rPr>
            </w:pPr>
            <w:r>
              <w:rPr>
                <w:rFonts w:ascii="Trebuchet MS" w:hAnsi="Trebuchet MS" w:cs="Arial"/>
                <w:b/>
                <w:shd w:val="clear" w:color="auto" w:fill="FFFFFF"/>
              </w:rPr>
              <w:t>In conformitate cu prevederile din cadrul Corrigendumului 1 la Ghidul Solicitantului – Conditii specifice AP9, PI 9.1, POR 2014-2020 (DLRC), subcap.2.4:</w:t>
            </w:r>
            <w:r>
              <w:rPr>
                <w:rFonts w:ascii="Trebuchet MS" w:hAnsi="Trebuchet MS" w:cs="Arial"/>
                <w:b/>
                <w:i/>
                <w:iCs/>
                <w:shd w:val="clear" w:color="auto" w:fill="FFFFFF"/>
              </w:rPr>
              <w:t> ”La nivel de fisa proiect, valoarea minima aferenta cheltuielilor eligibile este de 30 000 euro.”</w:t>
            </w:r>
          </w:p>
          <w:p>
            <w:pPr>
              <w:spacing w:line="240" w:lineRule="auto"/>
              <w:jc w:val="both"/>
              <w:rPr>
                <w:rFonts w:ascii="Trebuchet MS" w:hAnsi="Trebuchet MS"/>
                <w:bCs/>
                <w:lang w:val="ro-RO"/>
              </w:rPr>
            </w:pPr>
          </w:p>
        </w:tc>
      </w:tr>
    </w:tbl>
    <w:p>
      <w:pPr>
        <w:shd w:val="clear" w:color="auto" w:fill="FFFFFF"/>
        <w:spacing w:line="240" w:lineRule="auto"/>
        <w:jc w:val="both"/>
        <w:rPr>
          <w:rFonts w:ascii="Trebuchet MS" w:hAnsi="Trebuchet MS" w:cs="Arial"/>
          <w:i/>
          <w:iCs/>
          <w:color w:val="1F497D" w:themeColor="text2"/>
          <w:shd w:val="clear" w:color="auto" w:fill="FFFFFF"/>
        </w:rPr>
      </w:pPr>
      <w:r>
        <w:rPr>
          <w:rFonts w:ascii="Trebuchet MS" w:hAnsi="Trebuchet MS"/>
          <w:lang w:val="fr-FR"/>
        </w:rPr>
        <w:t>Cursul valutar care se utilizează pentru calculul respectivelo rvalori este cursul Info Euro din luna Octombrie 2019, respectiv 1 EUR = 4,7515 RON.</w:t>
      </w:r>
    </w:p>
    <w:p>
      <w:pPr>
        <w:pStyle w:val="Heading3"/>
        <w:spacing w:before="0" w:line="240" w:lineRule="auto"/>
        <w:rPr>
          <w:rFonts w:ascii="Trebuchet MS" w:hAnsi="Trebuchet MS"/>
          <w:bCs w:val="0"/>
          <w:i/>
          <w:noProof/>
          <w:color w:val="auto"/>
        </w:rPr>
      </w:pPr>
      <w:bookmarkStart w:id="31" w:name="_Toc41298494"/>
      <w:r>
        <w:rPr>
          <w:rFonts w:ascii="Trebuchet MS" w:hAnsi="Trebuchet MS"/>
          <w:bCs w:val="0"/>
          <w:i/>
          <w:noProof/>
          <w:color w:val="auto"/>
        </w:rPr>
        <w:t>Secțiunea 3.2.8 Rata de cofinanțare acordată în cadrul apelurilor de proiecte</w:t>
      </w:r>
      <w:bookmarkEnd w:id="31"/>
    </w:p>
    <w:p>
      <w:pPr>
        <w:spacing w:after="120" w:line="240" w:lineRule="auto"/>
        <w:jc w:val="both"/>
        <w:rPr>
          <w:rFonts w:ascii="Trebuchet MS" w:hAnsi="Trebuchet MS" w:cs="Calibri"/>
          <w:bCs/>
          <w:lang w:val="ro-RO"/>
        </w:rPr>
      </w:pPr>
    </w:p>
    <w:p>
      <w:pPr>
        <w:spacing w:after="120" w:line="240" w:lineRule="auto"/>
        <w:jc w:val="both"/>
        <w:rPr>
          <w:rFonts w:ascii="Trebuchet MS" w:hAnsi="Trebuchet MS" w:cs="Calibri"/>
          <w:bCs/>
          <w:lang w:val="ro-RO"/>
        </w:rPr>
      </w:pPr>
      <w:r>
        <w:rPr>
          <w:rFonts w:ascii="Trebuchet MS" w:hAnsi="Trebuchet MS" w:cs="Calibri"/>
          <w:bCs/>
          <w:lang w:val="ro-RO"/>
        </w:rPr>
        <w:t xml:space="preserve">În cadrul APELULUI DE FIȘE DE PROIECTE rata de cofinanţare (finanțarea maximă nerambursabilă ce poate fi acordată pentru un proiect) este de 98% din valoarea totală a cheltuielilor eligibile, din care 95% contribuția din partea Fondului European de Dezvoltare Regională (FEDR) și 3% contribuția Bugetului de stat. </w:t>
      </w:r>
    </w:p>
    <w:p>
      <w:pPr>
        <w:spacing w:after="120" w:line="240" w:lineRule="auto"/>
        <w:jc w:val="both"/>
        <w:rPr>
          <w:rFonts w:ascii="Trebuchet MS" w:hAnsi="Trebuchet MS" w:cs="Calibri"/>
          <w:bCs/>
          <w:lang w:val="ro-RO"/>
        </w:rPr>
      </w:pPr>
      <w:r>
        <w:rPr>
          <w:rFonts w:ascii="Trebuchet MS" w:hAnsi="Trebuchet MS" w:cs="Calibri"/>
          <w:bCs/>
          <w:lang w:val="ro-RO"/>
        </w:rPr>
        <w:t xml:space="preserve">Beneficiarul are obligația asigurării unei contribuții de minim 2% din valoarea cheltuielilor eligibile, precum și să asigure costurile ne-eligibile și conexe ale proiectului. </w:t>
      </w:r>
    </w:p>
    <w:p>
      <w:pPr>
        <w:spacing w:after="0" w:line="240" w:lineRule="auto"/>
        <w:jc w:val="both"/>
        <w:rPr>
          <w:rFonts w:ascii="Trebuchet MS" w:hAnsi="Trebuchet MS" w:cs="Calibri"/>
          <w:bCs/>
          <w:lang w:val="ro-RO"/>
        </w:rPr>
      </w:pPr>
    </w:p>
    <w:p>
      <w:pPr>
        <w:pStyle w:val="Heading2"/>
        <w:spacing w:before="0" w:line="240" w:lineRule="auto"/>
        <w:jc w:val="both"/>
        <w:rPr>
          <w:rFonts w:ascii="Trebuchet MS" w:hAnsi="Trebuchet MS"/>
          <w:i/>
          <w:noProof/>
          <w:color w:val="auto"/>
        </w:rPr>
      </w:pPr>
      <w:bookmarkStart w:id="32" w:name="_Toc41298495"/>
      <w:r>
        <w:rPr>
          <w:rFonts w:ascii="Trebuchet MS" w:hAnsi="Trebuchet MS"/>
          <w:i/>
          <w:noProof/>
          <w:color w:val="auto"/>
        </w:rPr>
        <w:t>Subcapitolul 3.3:Reguli pentru acordarea finanțării</w:t>
      </w:r>
      <w:bookmarkEnd w:id="32"/>
    </w:p>
    <w:p>
      <w:pPr>
        <w:spacing w:after="0"/>
        <w:rPr>
          <w:rFonts w:ascii="Trebuchet MS" w:hAnsi="Trebuchet MS"/>
        </w:rPr>
      </w:pPr>
    </w:p>
    <w:p>
      <w:pPr>
        <w:pStyle w:val="Heading3"/>
        <w:spacing w:before="0" w:line="240" w:lineRule="auto"/>
        <w:jc w:val="both"/>
        <w:rPr>
          <w:rFonts w:ascii="Trebuchet MS" w:hAnsi="Trebuchet MS"/>
          <w:bCs w:val="0"/>
          <w:i/>
          <w:noProof/>
          <w:color w:val="auto"/>
        </w:rPr>
      </w:pPr>
      <w:bookmarkStart w:id="33" w:name="_Toc41298496"/>
      <w:bookmarkStart w:id="34" w:name="_Toc22832112"/>
      <w:bookmarkStart w:id="35" w:name="_Toc489006355"/>
      <w:r>
        <w:rPr>
          <w:rFonts w:ascii="Trebuchet MS" w:hAnsi="Trebuchet MS"/>
          <w:bCs w:val="0"/>
          <w:i/>
          <w:noProof/>
          <w:color w:val="auto"/>
        </w:rPr>
        <w:t>Secțiunea3.3.1 Eligibilitatea solicitanților și a partenerilor (dacă e cazul)</w:t>
      </w:r>
      <w:bookmarkEnd w:id="33"/>
    </w:p>
    <w:bookmarkEnd w:id="34"/>
    <w:bookmarkEnd w:id="35"/>
    <w:p>
      <w:pPr>
        <w:autoSpaceDE w:val="0"/>
        <w:autoSpaceDN w:val="0"/>
        <w:adjustRightInd w:val="0"/>
        <w:spacing w:after="120" w:line="240" w:lineRule="auto"/>
        <w:jc w:val="both"/>
        <w:rPr>
          <w:rFonts w:ascii="Trebuchet MS" w:hAnsi="Trebuchet MS" w:cs="Calibri"/>
          <w:bCs/>
          <w:lang w:val="ro-RO"/>
        </w:rPr>
      </w:pP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Pentru aplicarea și obținerea finanțării în cadrul prezentului ghid, solicitantul și partenerul (dacă e cazul), precum și proiectul trebuie să respecte toate criteriile menționate pe toată perioada desfășurării procesului de verificare și contractare.  </w:t>
      </w:r>
    </w:p>
    <w:p>
      <w:pPr>
        <w:autoSpaceDE w:val="0"/>
        <w:autoSpaceDN w:val="0"/>
        <w:adjustRightInd w:val="0"/>
        <w:spacing w:after="120" w:line="240" w:lineRule="auto"/>
        <w:jc w:val="both"/>
        <w:rPr>
          <w:rFonts w:ascii="Trebuchet MS" w:hAnsi="Trebuchet MS" w:cs="Calibri"/>
          <w:bCs/>
          <w:i/>
          <w:lang w:val="ro-RO"/>
        </w:rPr>
      </w:pPr>
      <w:r>
        <w:rPr>
          <w:rFonts w:ascii="Trebuchet MS" w:hAnsi="Trebuchet MS" w:cs="Calibri"/>
          <w:bCs/>
          <w:lang w:val="ro-RO"/>
        </w:rPr>
        <w:t>Solicitantul/partenerul eligibil, în sensul prezentului ghid, reprezintă entitatea care îndeplineşte cumulativ următoarele criterii enumerate și prezentate în cadrul prezentei secțiuni</w:t>
      </w:r>
      <w:r>
        <w:rPr>
          <w:rFonts w:ascii="Trebuchet MS" w:hAnsi="Trebuchet MS" w:cs="Calibri"/>
          <w:bCs/>
          <w:i/>
          <w:lang w:val="ro-RO"/>
        </w:rPr>
        <w:t xml:space="preserve">. </w:t>
      </w:r>
    </w:p>
    <w:p>
      <w:pPr>
        <w:numPr>
          <w:ilvl w:val="0"/>
          <w:numId w:val="23"/>
        </w:num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t>Forma de constituire a solicitantului</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Categoriile de solicitanții eligibili sunt:</w:t>
      </w:r>
    </w:p>
    <w:p>
      <w:pPr>
        <w:numPr>
          <w:ilvl w:val="0"/>
          <w:numId w:val="24"/>
        </w:numPr>
        <w:autoSpaceDE w:val="0"/>
        <w:autoSpaceDN w:val="0"/>
        <w:adjustRightInd w:val="0"/>
        <w:spacing w:after="120" w:line="240" w:lineRule="auto"/>
        <w:jc w:val="both"/>
        <w:rPr>
          <w:rFonts w:ascii="Trebuchet MS" w:hAnsi="Trebuchet MS" w:cs="Calibri"/>
          <w:bCs/>
          <w:lang w:val="ro-RO"/>
        </w:rPr>
      </w:pPr>
      <w:bookmarkStart w:id="36" w:name="_Hlk21087594"/>
      <w:r>
        <w:rPr>
          <w:rFonts w:ascii="Trebuchet MS" w:hAnsi="Trebuchet MS" w:cs="Calibri"/>
          <w:b/>
          <w:bCs/>
          <w:lang w:val="ro-RO"/>
        </w:rPr>
        <w:t>Unitatea Administrativ Teritorială Municipiul Botosani</w:t>
      </w:r>
      <w:r>
        <w:rPr>
          <w:rFonts w:ascii="Trebuchet MS" w:hAnsi="Trebuchet MS" w:cs="Calibri"/>
          <w:bCs/>
          <w:lang w:val="ro-RO"/>
        </w:rPr>
        <w:t>- ca  membru în Grupul de Acțiune Locală Botosani Pentru Viitor.</w:t>
      </w:r>
    </w:p>
    <w:p>
      <w:pPr>
        <w:numPr>
          <w:ilvl w:val="0"/>
          <w:numId w:val="24"/>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
          <w:bCs/>
          <w:lang w:val="ro-RO"/>
        </w:rPr>
        <w:t>Parteneriate</w:t>
      </w:r>
      <w:r>
        <w:rPr>
          <w:rFonts w:ascii="Trebuchet MS" w:hAnsi="Trebuchet MS" w:cs="Calibri"/>
          <w:bCs/>
          <w:lang w:val="ro-RO"/>
        </w:rPr>
        <w:t xml:space="preserve"> între UAT Municipiul </w:t>
      </w:r>
      <w:r>
        <w:rPr>
          <w:rFonts w:ascii="Trebuchet MS" w:hAnsi="Trebuchet MS" w:cs="Calibri"/>
          <w:b/>
          <w:bCs/>
          <w:lang w:val="ro-RO"/>
        </w:rPr>
        <w:t>Botosani</w:t>
      </w:r>
      <w:r>
        <w:rPr>
          <w:rFonts w:ascii="Trebuchet MS" w:hAnsi="Trebuchet MS" w:cs="Calibri"/>
          <w:bCs/>
          <w:lang w:val="ro-RO"/>
        </w:rPr>
        <w:t xml:space="preserve">- membru în Grupul de Acțiune Locală  Bottosani pentru Viitor ca lider de parteneriat - </w:t>
      </w:r>
      <w:bookmarkStart w:id="37" w:name="_Hlk22831404"/>
      <w:r>
        <w:rPr>
          <w:rFonts w:ascii="Trebuchet MS" w:hAnsi="Trebuchet MS" w:cs="Calibri"/>
          <w:bCs/>
          <w:lang w:val="ro-RO"/>
        </w:rPr>
        <w:t>și furnizori publici și privați de servicii sociale - acreditați conform legislației în vigoare, cu o vechime în domeniu de cel putin un an, inainte de depunerea proiectului – pentru acele investiții în care se vor furniza servicii sociale (obligatoriu în cazul centrelor comunitare integrate - CCI medico-sociale)</w:t>
      </w:r>
      <w:bookmarkEnd w:id="37"/>
    </w:p>
    <w:p>
      <w:pPr>
        <w:numPr>
          <w:ilvl w:val="0"/>
          <w:numId w:val="24"/>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
          <w:bCs/>
          <w:lang w:val="ro-RO"/>
        </w:rPr>
        <w:t>Furnizori publici și privați de servicii sociale</w:t>
      </w:r>
      <w:r>
        <w:rPr>
          <w:rFonts w:ascii="Trebuchet MS" w:hAnsi="Trebuchet MS" w:cs="Calibri"/>
          <w:bCs/>
          <w:lang w:val="ro-RO"/>
        </w:rPr>
        <w:t xml:space="preserve"> acreditați conform legislației în vigoare, cu o vechime de cel putin un an, inainte de depunerea proiectului, cu competențe în furnizare de servicii sociale, comunitare, desfășurare de activități recreativ-educative, culturale, agrement și sport.</w:t>
      </w:r>
    </w:p>
    <w:bookmarkEnd w:id="36"/>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In conformitate cu prevederile Legii nr. 292/2011 a asistenței sociale, art. 37.</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Furnizorii publici de servicii sociale sunt: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structurile specializate din cadrul/subordinea autorităţiloradministraţiei publice locale şiautorităţile executive din unităţile administrativ-teritoriale organizate la nivel de sector, oraș, municipiu și judet;</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unităţile sanitare, unităţile de învăţământşi alte instituţii publice locale nivel de sector, oraș, municipiu și judet care dezvoltă, la nivel comunitar, servicii sociale integrate.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Furnizori privați de servicii sociale pot fi (potrivit prezentului ghid):</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 asociaţiişifundaţii constituite în conformitate cu legislația în vigoare (de ex. Ordonanța Guvernului nr. 26/2000 cu privire la asociaţiişifundaţii, cu modificările şi completările ulterioare, etc.), inclusiv filiale și sucursale ale asociaţiilorşifundaţiilorinternaţionale recunoscute în conformitate cu legislaţia în vigoare în România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lastRenderedPageBreak/>
        <w:t>• unităţi de cult/ structuri ale cultelor aparţinând cultelor religioase recunoscute în România conform anexei la Legea nr. 489 din 28 decembrie 2006 (**republicată**) privind libertatea religioasă şi regimul general al cultelor*),  şi constituite conform statutului de organizare și funcționare al cultului respectiv. Statutele de organizare și funcționare ale cultelor recunoscute în România se pot accesa pornind de la următoarea adresă: http://www.culte.gov.ro/biserici-culte, pentru fiecare cult în parte, la secțiunea documente atașate.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
          <w:bCs/>
          <w:lang w:val="ro-RO"/>
        </w:rPr>
        <w:t>În cazul unui parteneriat</w:t>
      </w:r>
      <w:r>
        <w:rPr>
          <w:rFonts w:ascii="Trebuchet MS" w:hAnsi="Trebuchet MS" w:cs="Calibri"/>
          <w:bCs/>
          <w:lang w:val="ro-RO"/>
        </w:rPr>
        <w:t xml:space="preserve">, acordul de parteneriat încheiat în scopul implementării proiectului, va fi anexat la proiect - Fișa de proiect, însoțit de dovada selectării transparente a partenerului, precum și de documentele ce dovedesc eligibilitatea partenerului.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Entităţile de drept public vor stabili parteneriatele cu entităţile de drept privat, numai prin aplicarea unei proceduri de selecţie a acestora, care respectă, cel puţin, principiile transparenţei, tratamentului legal, nediscriminării şi utilizării eficiente a fondurilor publice, în conformitate cu prevederile art. 29, alin 1 din O.U.G. nr. 40 din 2015 privind gestionarea financiară a fondurilor europene pentru perioada de programare 2014-2020.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Se vor respecta în totalitate prevederile O.U.G. nr. 40 din 2015 privind gestionarea financiară a fondurilor europene pentru perioada de programare 2014-2020, privitoare la proiectele implementate în parteneriat, precum și ale Normelor Metodologice din 2016 de aplicare a prevederilor Ordonanţei de urgenţă a Guvernului nr. 40/2015 privind gestionarea financiară a fondurilor europene pentru perioada de programare 2014-2020, aprobate prin H.G nr. 93 din 2016, privitoare la proiectele implementate în parteneriat.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Solicitantul de finanţare sau unul dintre parteneri este furnizor de servicii sociale acreditat în condiţiilelegislaţieinaţionale aplicabile în vigoare şi are o vechime în domeniu de cel puţin un an de la înfiinţare, la data depunerii fișei de proiect.</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Acreditarea ca furnizor de servicii sociale, obţinută în conformitate cu prevederile Legii nr. 197/2012 privind asigurarea calităţii în domeniul serviciilor sociale şi ale HG nr. 118 din 19 februarie 2014 pentru aprobarea Normelor metodologice de aplicare a prevederilor Legii 197/2012, se dovedeşte prin certificatul de acreditare.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Vechimea de un an de activitate se referă la momentul înființării persoanei juridice, nu la vechimea acreditării. Nu se calculează perioada suspendării de activitate.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În cazul parteneriatelor, cel puţin unul din parteneri trebuie să facă dovada acreditării ca furnizor de servicii sociale.  </w:t>
      </w:r>
    </w:p>
    <w:p>
      <w:p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t>2. Solicitantul și/sau reprezentantul legal, inclusiv partenerul şi/sau reprezentantul său legal, dacă este cazul, NU se încadrează în niciuna din situaţiileprezentante în Declarația de eligibilitate.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Se va utiliza modelul de declarație de eligibilitate (Anexa 2 – Declarația de eligibilitate) aplicabil în funcție de solicitant, în care sunt detaliate situațiile în care solicitantul şi/sau reprezentantul legal, inclusiv partenerul şi/sau reprezentantul său legal, dacă este cazul, NU trebuie să se regăsească pentru a fi beneficiarul acestei priorități de investiții. </w:t>
      </w:r>
    </w:p>
    <w:p>
      <w:p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lastRenderedPageBreak/>
        <w:t xml:space="preserve">3. Solicitantul de finanțare deține drepturi asupra imobilului (clădire, teren, infrastructura), obiect al proiectului, de la data depunerii cererii de finanţare, precum şi pe o perioadă de minim 5 ani de la data plăţii finale (aşa cum reiese din documentele depuse), pentru care poate fi acordat dreptul de execuţie a lucrărilor de construcţii, în conformitate cu legislația în vigoare.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Drepturile ce pot constitui premisa obținerii finanțării în cadrul POR 2014-2020, din perspectiva asigurării perenității investiției în conformitate cu art. 71 din Regulamentul Parlamentului European și al Consiliului nr. 1303/2013, vor fi avute în vedere pentru proiectele care presupun realizarea de lucrări de construcție (numai cu autorizație de construire).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Pentru proiectele care includ lucrări de construcție ce se supun autorizării, solicitantul la finanțare trebuie să demonstreze: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a) dreptul de proprietate publică/privată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b) dreptul de administrare a imobilului aflat în proprietate publică conform legislației în vigoare, astfel cum este reglementat în art.868 din Codul Civil</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c) dreptul de concesiune(conform OUG 54/2006, OUG 57/2009 privind Codul Administrativ)</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NOTA: Sunt neeligibile proiectele care implică :</w:t>
      </w:r>
    </w:p>
    <w:p>
      <w:pPr>
        <w:numPr>
          <w:ilvl w:val="0"/>
          <w:numId w:val="25"/>
        </w:num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 xml:space="preserve">exclusiv realizarea de lucrări de construcţie provizorii,  </w:t>
      </w:r>
    </w:p>
    <w:p>
      <w:pPr>
        <w:numPr>
          <w:ilvl w:val="0"/>
          <w:numId w:val="25"/>
        </w:num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 xml:space="preserve">exclusiv lucrări care nu se supun autorizării (lucrări fără autorizație de construire),  </w:t>
      </w:r>
    </w:p>
    <w:p>
      <w:pPr>
        <w:numPr>
          <w:ilvl w:val="0"/>
          <w:numId w:val="25"/>
        </w:num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exclusiv dotări.</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NOTA</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Imobilul este definit conform Legii nr. 7/1996 a cadastrului şi a publicităţii imobiliare, cu modificările și completările ulterioare.</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Imobilul (teren și/sau clădiri) care face obiectul proiectului îndeplineşte cumulativ următoarele condiţii:</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să fie liber de orice sarcini sau interdicţii ce afectează implementarea operaţiunii</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să nu facă obiectul unor litigii având ca obiect dreptul invocat de către solicitant pentru realizarea proiectului aflate in curs de solutionare la instantelejudecatoresti</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să nu facă obiectul revendicărilor potrivit unor legi speciale în materie sau dreptului comun.</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Nu vor conduce la respingerea fisei de proiect din procesul de verificare, acele limite ale dreptului de proprietate care nu sunt incompatibile cu realizarea activităților proiectului (de ex. servituți legale, servitutea de trecere cu piciorul, etc). Garanțiile reale asupra imobilelor  sunt considerate în accepțiunea AMPOR incompatibile cu realizarea proiectelor de investiții în cadrul POR 2014-2020.</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Criteriile se vor verifica prin Anexa 2 Declarația de eligibilitate</w:t>
      </w:r>
    </w:p>
    <w:p>
      <w:p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t>4. Acreditări solicitate ( daca este cazul)</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lastRenderedPageBreak/>
        <w:t>Acreditarea ca furnizor de servicii sociale, obţinută în conformitate cu prevederile Legii nr. 292/20 decembrie 2011, a asistenței sociale,  Legii nr. 197/2012 privind asigurarea calităţii în domeniul serviciilor sociale şi ale HG nr. 118 din 19 februarie 2014 pentru aprobarea Normelor metodologice de aplicare a prevederilor Legii nr. 197/2012, este obligatorie pentru furnizorii de servicii socialeşi se dovedeşte prin certificatul de acreditare.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Acreditarea unuia sau mai multor servicii sociale (licenţierea) este opţionalăşi se dovedeşte prin licenţă provizorie sau licenţă de funcţionare.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În cazul parteneriatelor, cel puţin unul din parteneri trebuie să facă dovada acreditării ca furnizor de servicii sociale, daca interventiavizeaza servicii  sociale.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Pentru tipurile de servicii sociale furnizate în infrastructura obiect al proiectului se va avea în vedere:</w:t>
      </w:r>
    </w:p>
    <w:p>
      <w:pPr>
        <w:numPr>
          <w:ilvl w:val="0"/>
          <w:numId w:val="22"/>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Hotărârea de Guvern Nr. 867 din 14 octombrie 2015 pentru aprobarea Nomenclatorului serviciilor sociale, precum şi a regulamentelor-cadru de organizare şifuncţionare a serviciilor sociale.</w:t>
      </w:r>
    </w:p>
    <w:p>
      <w:pPr>
        <w:numPr>
          <w:ilvl w:val="0"/>
          <w:numId w:val="22"/>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Ordinul Ministerului Muncii și Justiției Sociale nr. 29/2019 privind aprobarea Standardelor minime de calitate pentru acreditarea serviciilor sociale destinate persoanelor vârstnice, persoanelor fără adăpost, tinerilor care au părăsit sistemul de protecţie a copilului şi altor categorii de persoane adulte aflate în dificultate, precum şi pentru serviciile acordate în comunitate, serviciilor acordate în sistem integrat şi cantinelor sociale.</w:t>
      </w:r>
    </w:p>
    <w:p>
      <w:pPr>
        <w:autoSpaceDE w:val="0"/>
        <w:autoSpaceDN w:val="0"/>
        <w:adjustRightInd w:val="0"/>
        <w:spacing w:after="0" w:line="240" w:lineRule="auto"/>
        <w:jc w:val="both"/>
        <w:rPr>
          <w:rFonts w:ascii="Trebuchet MS" w:hAnsi="Trebuchet MS" w:cs="Calibri"/>
          <w:bCs/>
          <w:lang w:val="ro-RO"/>
        </w:rPr>
      </w:pPr>
    </w:p>
    <w:p>
      <w:pPr>
        <w:pStyle w:val="Heading3"/>
        <w:spacing w:before="0" w:line="240" w:lineRule="auto"/>
        <w:jc w:val="both"/>
        <w:rPr>
          <w:rFonts w:ascii="Trebuchet MS" w:hAnsi="Trebuchet MS"/>
          <w:bCs w:val="0"/>
          <w:i/>
          <w:noProof/>
          <w:color w:val="auto"/>
        </w:rPr>
      </w:pPr>
      <w:bookmarkStart w:id="38" w:name="_Toc41298497"/>
      <w:r>
        <w:rPr>
          <w:rFonts w:ascii="Trebuchet MS" w:hAnsi="Trebuchet MS"/>
          <w:bCs w:val="0"/>
          <w:i/>
          <w:noProof/>
          <w:color w:val="auto"/>
        </w:rPr>
        <w:t>Secțiunea 3.3.2 Eligibilitatea grupului țintă</w:t>
      </w:r>
      <w:bookmarkEnd w:id="38"/>
    </w:p>
    <w:p>
      <w:pPr>
        <w:pStyle w:val="ListParagraph"/>
        <w:autoSpaceDE w:val="0"/>
        <w:autoSpaceDN w:val="0"/>
        <w:adjustRightInd w:val="0"/>
        <w:spacing w:after="120" w:line="240" w:lineRule="auto"/>
        <w:ind w:left="360"/>
        <w:jc w:val="both"/>
        <w:rPr>
          <w:rFonts w:ascii="Trebuchet MS" w:hAnsi="Trebuchet MS" w:cs="Calibri"/>
          <w:lang w:val="ro-RO"/>
        </w:rPr>
      </w:pPr>
    </w:p>
    <w:p>
      <w:pPr>
        <w:pStyle w:val="ListParagraph"/>
        <w:numPr>
          <w:ilvl w:val="0"/>
          <w:numId w:val="22"/>
        </w:numPr>
        <w:spacing w:line="240" w:lineRule="auto"/>
        <w:jc w:val="both"/>
        <w:rPr>
          <w:rFonts w:ascii="Trebuchet MS" w:hAnsi="Trebuchet MS"/>
          <w:sz w:val="22"/>
          <w:szCs w:val="22"/>
          <w:lang w:val="ro-RO"/>
        </w:rPr>
      </w:pPr>
      <w:r>
        <w:rPr>
          <w:rFonts w:ascii="Trebuchet MS" w:hAnsi="Trebuchet MS"/>
          <w:sz w:val="22"/>
          <w:szCs w:val="22"/>
          <w:lang w:val="ro-RO"/>
        </w:rPr>
        <w:t>Grupurile – ţintă vizate în contextul OS9.1 POR 2014-2020 vor fi, în mod similar abordării POCU, cu prioritate: persoane expuse riscului de sărăcie (femeile, tinerii, persoanele din familii cu venituri reduse, persoanele fără adăpost, persoanele vârstnice şi persoanele cu dizabilităţi aflate în situaţii de dependenţă sau în risc de excluziune socială, copii aflaţi în situaţii de risc etc.), precum şi persoanele care suferă de forme de dependență (alcool, substanțe interzise etc), victimele violenței domestice, ale traficului de ființe umane și persoanele private de libertate și aflate în perioada de probațiune, precum şi persoanele defavorizate aparținând etniei rome.</w:t>
      </w:r>
    </w:p>
    <w:p>
      <w:pPr>
        <w:pStyle w:val="ListParagraph"/>
        <w:spacing w:after="0" w:line="240" w:lineRule="auto"/>
        <w:rPr>
          <w:rFonts w:ascii="Trebuchet MS" w:hAnsi="Trebuchet MS"/>
          <w:sz w:val="22"/>
          <w:szCs w:val="22"/>
          <w:lang w:val="ro-RO"/>
        </w:rPr>
      </w:pPr>
    </w:p>
    <w:p>
      <w:pPr>
        <w:pStyle w:val="Heading3"/>
        <w:spacing w:before="0" w:line="240" w:lineRule="auto"/>
        <w:jc w:val="both"/>
        <w:rPr>
          <w:rFonts w:ascii="Trebuchet MS" w:hAnsi="Trebuchet MS"/>
          <w:bCs w:val="0"/>
          <w:i/>
          <w:noProof/>
          <w:color w:val="auto"/>
        </w:rPr>
      </w:pPr>
      <w:bookmarkStart w:id="39" w:name="_Toc41298498"/>
      <w:r>
        <w:rPr>
          <w:rFonts w:ascii="Trebuchet MS" w:hAnsi="Trebuchet MS"/>
          <w:bCs w:val="0"/>
          <w:i/>
          <w:noProof/>
          <w:color w:val="auto"/>
        </w:rPr>
        <w:t>Secțiunea 3.3.3 Eligibilitatea cheltuielilor</w:t>
      </w:r>
      <w:bookmarkEnd w:id="39"/>
    </w:p>
    <w:p>
      <w:pPr>
        <w:spacing w:after="0" w:line="240" w:lineRule="auto"/>
        <w:rPr>
          <w:rFonts w:ascii="Trebuchet MS" w:hAnsi="Trebuchet MS"/>
        </w:rPr>
      </w:pPr>
    </w:p>
    <w:p>
      <w:pPr>
        <w:spacing w:before="120" w:after="120" w:line="240" w:lineRule="auto"/>
        <w:jc w:val="both"/>
        <w:rPr>
          <w:rFonts w:ascii="Trebuchet MS" w:eastAsia="Times New Roman" w:hAnsi="Trebuchet MS"/>
          <w:lang w:val="ro-RO"/>
        </w:rPr>
      </w:pPr>
      <w:r>
        <w:rPr>
          <w:rFonts w:ascii="Trebuchet MS" w:eastAsia="Times New Roman" w:hAnsi="Trebuchet MS"/>
          <w:lang w:val="ro-RO"/>
        </w:rPr>
        <w:t>Baza legală pentru stabilirea eligibilității cheltuielilor:</w:t>
      </w:r>
    </w:p>
    <w:p>
      <w:pPr>
        <w:numPr>
          <w:ilvl w:val="0"/>
          <w:numId w:val="26"/>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Regulamentul (UE, EURATOM) nr. 1311/2013 al Consiliului din 2 decembrie 2013 de stabilire a cadrului financiar multianual pentru perioada 2014 - 2020</w:t>
      </w:r>
    </w:p>
    <w:p>
      <w:pPr>
        <w:numPr>
          <w:ilvl w:val="0"/>
          <w:numId w:val="26"/>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w:t>
      </w:r>
      <w:r>
        <w:rPr>
          <w:rFonts w:ascii="Trebuchet MS" w:eastAsia="Times New Roman" w:hAnsi="Trebuchet MS"/>
          <w:lang w:val="ro-RO" w:eastAsia="ro-RO"/>
        </w:rPr>
        <w:lastRenderedPageBreak/>
        <w:t xml:space="preserve">precum și de stabilire a unor dispoziții generale privind Fondul european de dezvoltare regională, Fondul social european, Fondul de coeziune și Fondul european pentru pescuit și afaceri maritime și de abrogare a Regulamentului (CE) nr. 1083/2006 al Consiliului, </w:t>
      </w:r>
    </w:p>
    <w:p>
      <w:pPr>
        <w:numPr>
          <w:ilvl w:val="0"/>
          <w:numId w:val="26"/>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pPr>
        <w:numPr>
          <w:ilvl w:val="0"/>
          <w:numId w:val="26"/>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Hotărârea Guvernului nr. 399/ 2015 privind regulile de eligibilitate a cheltuielilor efectuate în cadrul operaţiunilorfinanţate prin Fondul european de dezvoltare regională, Fondul social european şi Fondul de coeziune 2014-2020, cu modificările și completările ulterioare.</w:t>
      </w:r>
    </w:p>
    <w:p>
      <w:pPr>
        <w:spacing w:before="120" w:after="120" w:line="240" w:lineRule="auto"/>
        <w:jc w:val="both"/>
        <w:rPr>
          <w:rFonts w:ascii="Trebuchet MS" w:eastAsia="Times New Roman" w:hAnsi="Trebuchet MS"/>
          <w:b/>
          <w:lang w:val="ro-RO"/>
        </w:rPr>
      </w:pP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Condiții cumulative de eligibilitate a cheltuielilor:</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respecte prevederile art. 65 alin (2)-(5) din Regulamentul 1303/2013, precum și a perioadei de implementare stabilite prin contractul de finanţare;</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fie însoţită de facturi emise în conformitate cu prevederile legislaţieinaţionale sau a statului în care acestea au fost emise ori de alte documente contabile pe baza cărora se înregistrează obligaţia de plată şi de documente justificative privind efectuarea plăţiişi realitatea cheltuielii efectuate, pe baza cărora cheltuielile să poată fi verificate/controlate/auditate;</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fie în conformitate cu prevederile programului;</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fie în conformitate cu contractul de finanţare, încheiat între autoritatea de management sau organismul intermediar şi beneficiar;</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fie rezonabilă şi necesară realizării operaţiunii</w:t>
      </w:r>
      <w:r>
        <w:rPr>
          <w:rFonts w:ascii="Trebuchet MS" w:eastAsia="Times New Roman" w:hAnsi="Trebuchet MS"/>
          <w:vertAlign w:val="superscript"/>
          <w:lang w:val="ro-RO" w:eastAsia="ro-RO"/>
        </w:rPr>
        <w:footnoteReference w:id="1"/>
      </w:r>
      <w:r>
        <w:rPr>
          <w:rFonts w:ascii="Trebuchet MS" w:eastAsia="Times New Roman" w:hAnsi="Trebuchet MS"/>
          <w:lang w:val="ro-RO" w:eastAsia="ro-RO"/>
        </w:rPr>
        <w:t>;</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respecte prevederile legislaţiei Uniunii Europene şinaţionale aplicabile;</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fie înregistrată în contabilitatea beneficiarului, cu respectarea prevederilor art. 67 din Regulamentul (UE) nr. 1.303/2013.</w:t>
      </w:r>
    </w:p>
    <w:p>
      <w:pPr>
        <w:numPr>
          <w:ilvl w:val="0"/>
          <w:numId w:val="27"/>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nu fie contrară prevederilor dreptului aplicabil al Uniunii Europene sau legislației naționale care vizează aplicarea dreptului relevant al Uniunii, în privința eligibilității, regularității, gestiunii sau controlului operațiunilor și cheltuielilor.</w:t>
      </w:r>
    </w:p>
    <w:p>
      <w:pPr>
        <w:spacing w:after="160" w:line="240" w:lineRule="auto"/>
        <w:ind w:left="567" w:hanging="567"/>
        <w:contextualSpacing/>
        <w:jc w:val="both"/>
        <w:rPr>
          <w:rFonts w:ascii="Trebuchet MS" w:hAnsi="Trebuchet MS"/>
          <w:lang w:val="ro-RO"/>
        </w:rPr>
      </w:pPr>
      <w:r>
        <w:rPr>
          <w:rFonts w:ascii="Trebuchet MS" w:hAnsi="Trebuchet MS"/>
          <w:b/>
          <w:bCs/>
          <w:lang w:val="ro-RO"/>
        </w:rPr>
        <w:t>Notă</w:t>
      </w:r>
      <w:r>
        <w:rPr>
          <w:rFonts w:ascii="Trebuchet MS" w:hAnsi="Trebuchet MS"/>
          <w:lang w:val="ro-RO"/>
        </w:rPr>
        <w:t>. Mecanismul de plată şi rambursare a cheltuielilor în cadrul contractelor de finanţare se realizează în conformitate cu prevederile OUG nr.40/23.09.2015, privind gestionarea financiară a fondurilor europene pentru perioada de programare 2014 – 2020, precum şi normele de aplicare aprobate prin HG nr. 93/2016.</w:t>
      </w:r>
    </w:p>
    <w:p>
      <w:pPr>
        <w:spacing w:after="160" w:line="240" w:lineRule="auto"/>
        <w:contextualSpacing/>
        <w:jc w:val="both"/>
        <w:rPr>
          <w:rFonts w:ascii="Trebuchet MS" w:hAnsi="Trebuchet MS"/>
          <w:lang w:val="ro-RO"/>
        </w:rPr>
      </w:pPr>
    </w:p>
    <w:tbl>
      <w:tblPr>
        <w:tblW w:w="0" w:type="auto"/>
        <w:tblCellMar>
          <w:left w:w="0" w:type="dxa"/>
          <w:right w:w="0" w:type="dxa"/>
        </w:tblCellMar>
        <w:tblLook w:val="04A0" w:firstRow="1" w:lastRow="0" w:firstColumn="1" w:lastColumn="0" w:noHBand="0" w:noVBand="1"/>
      </w:tblPr>
      <w:tblGrid>
        <w:gridCol w:w="1751"/>
        <w:gridCol w:w="2317"/>
        <w:gridCol w:w="5174"/>
      </w:tblGrid>
      <w:tr>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b/>
                <w:bCs/>
                <w:szCs w:val="20"/>
              </w:rPr>
              <w:t>Categorie</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b/>
                <w:bCs/>
                <w:szCs w:val="20"/>
              </w:rPr>
              <w:t>Subcategorie</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b/>
                <w:bCs/>
                <w:szCs w:val="20"/>
              </w:rPr>
              <w:t>Cheltuieli incluse/eligibile</w:t>
            </w:r>
          </w:p>
        </w:tc>
      </w:tr>
      <w:tr>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szCs w:val="20"/>
              </w:rPr>
            </w:pPr>
            <w:r>
              <w:rPr>
                <w:rFonts w:ascii="Trebuchet MS" w:hAnsi="Trebuchet MS"/>
                <w:bCs/>
                <w:szCs w:val="20"/>
              </w:rPr>
              <w:t>9 – cheltuieli aferente managementului de proiect</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szCs w:val="20"/>
              </w:rPr>
            </w:pPr>
            <w:r>
              <w:rPr>
                <w:rFonts w:ascii="Trebuchet MS" w:hAnsi="Trebuchet MS"/>
                <w:bCs/>
                <w:szCs w:val="20"/>
              </w:rPr>
              <w:t>21 – cheltuieli salariale cu echipa de management de proiect</w:t>
            </w:r>
          </w:p>
        </w:tc>
        <w:tc>
          <w:tcPr>
            <w:tcW w:w="5811" w:type="dxa"/>
            <w:vMerge w:val="restart"/>
            <w:tcBorders>
              <w:top w:val="single" w:sz="8" w:space="0" w:color="auto"/>
              <w:left w:val="nil"/>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rPr>
            </w:pPr>
            <w:r>
              <w:rPr>
                <w:rFonts w:ascii="Trebuchet MS" w:hAnsi="Trebuchet MS"/>
                <w:szCs w:val="20"/>
              </w:rPr>
              <w:t xml:space="preserve">Sunt eligibile cheltuielile cu salariile membrilor echipei de proiect, inclusiv contribuțiile angajatului și angajatorului, proporțional cu timpul efectiv alocat activităților din proiect de </w:t>
            </w:r>
            <w:r>
              <w:rPr>
                <w:rFonts w:ascii="Trebuchet MS" w:hAnsi="Trebuchet MS"/>
                <w:szCs w:val="20"/>
              </w:rPr>
              <w:lastRenderedPageBreak/>
              <w:t>la data semnării contractului de finanțare, cu  respectarea prevederilor legale în vigoare.</w:t>
            </w:r>
          </w:p>
          <w:p>
            <w:pPr>
              <w:spacing w:after="0" w:line="240" w:lineRule="auto"/>
              <w:jc w:val="both"/>
              <w:rPr>
                <w:rFonts w:ascii="Trebuchet MS" w:hAnsi="Trebuchet MS"/>
                <w:szCs w:val="20"/>
              </w:rPr>
            </w:pPr>
          </w:p>
          <w:p>
            <w:pPr>
              <w:spacing w:after="0" w:line="240" w:lineRule="auto"/>
              <w:jc w:val="both"/>
              <w:rPr>
                <w:rFonts w:ascii="Trebuchet MS" w:hAnsi="Trebuchet MS"/>
                <w:szCs w:val="20"/>
                <w:lang w:val="fr-FR"/>
              </w:rPr>
            </w:pPr>
            <w:r>
              <w:rPr>
                <w:rFonts w:ascii="Trebuchet MS" w:hAnsi="Trebuchet MS"/>
                <w:szCs w:val="20"/>
                <w:lang w:val="fr-FR"/>
              </w:rPr>
              <w:t>Data de la care sunt considerate eligibile cheltuielile este data semnării de către ultima parte a contractului de finanțare, prin POR, corespunzător proiectului pentru care s-a constituit UIP</w:t>
            </w:r>
          </w:p>
          <w:p>
            <w:pPr>
              <w:spacing w:after="0" w:line="240" w:lineRule="auto"/>
              <w:jc w:val="both"/>
              <w:rPr>
                <w:rFonts w:ascii="Trebuchet MS" w:hAnsi="Trebuchet MS"/>
                <w:szCs w:val="20"/>
                <w:lang w:val="fr-FR"/>
              </w:rPr>
            </w:pPr>
          </w:p>
          <w:p>
            <w:pPr>
              <w:spacing w:after="0" w:line="240" w:lineRule="auto"/>
              <w:jc w:val="both"/>
              <w:rPr>
                <w:rFonts w:ascii="Trebuchet MS" w:hAnsi="Trebuchet MS"/>
                <w:szCs w:val="20"/>
                <w:lang w:val="fr-FR"/>
              </w:rPr>
            </w:pPr>
            <w:r>
              <w:rPr>
                <w:rFonts w:ascii="Trebuchet MS" w:hAnsi="Trebuchet MS"/>
                <w:szCs w:val="20"/>
                <w:lang w:val="fr-FR"/>
              </w:rPr>
              <w:t>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şi a legislaţiei naţionale aplicabile și zilele pentru care indemnizația pentru incapacitate temporară de muncă a salariaţilor este suportată de angajator.</w:t>
            </w:r>
          </w:p>
          <w:p>
            <w:pPr>
              <w:spacing w:after="0" w:line="240" w:lineRule="auto"/>
              <w:jc w:val="both"/>
              <w:rPr>
                <w:rFonts w:ascii="Trebuchet MS" w:hAnsi="Trebuchet MS"/>
                <w:szCs w:val="20"/>
                <w:lang w:val="fr-FR"/>
              </w:rPr>
            </w:pPr>
            <w:r>
              <w:rPr>
                <w:rFonts w:ascii="Trebuchet MS" w:hAnsi="Trebuchet MS"/>
                <w:szCs w:val="20"/>
                <w:lang w:val="fr-FR"/>
              </w:rPr>
              <w:t>Numărul de persoane care pot fi nominalizate în echipa de proiect, este conditionat de valoarea proiectului, astfel:</w:t>
            </w:r>
            <w:r>
              <w:rPr>
                <w:rFonts w:ascii="Trebuchet MS" w:hAnsi="Trebuchet MS"/>
                <w:szCs w:val="20"/>
                <w:lang w:val="fr-FR"/>
              </w:rPr>
              <w:br/>
            </w:r>
            <w:r>
              <w:rPr>
                <w:rFonts w:ascii="Trebuchet MS" w:hAnsi="Trebuchet MS"/>
                <w:szCs w:val="20"/>
              </w:rPr>
              <w:t> </w:t>
            </w:r>
            <w:r>
              <w:rPr>
                <w:rFonts w:ascii="Trebuchet MS" w:hAnsi="Trebuchet MS"/>
                <w:szCs w:val="20"/>
              </w:rPr>
              <w:t> </w:t>
            </w:r>
            <w:r>
              <w:rPr>
                <w:rFonts w:ascii="Trebuchet MS" w:hAnsi="Trebuchet MS"/>
                <w:szCs w:val="20"/>
                <w:lang w:val="fr-FR"/>
              </w:rPr>
              <w:t>a) 4 persoane pentru un proiect in valoare de pana la 1.000.000 euro;</w:t>
            </w:r>
            <w:r>
              <w:rPr>
                <w:rFonts w:ascii="Trebuchet MS" w:hAnsi="Trebuchet MS"/>
                <w:szCs w:val="20"/>
                <w:lang w:val="fr-FR"/>
              </w:rPr>
              <w:br/>
            </w:r>
            <w:r>
              <w:rPr>
                <w:rFonts w:ascii="Trebuchet MS" w:hAnsi="Trebuchet MS"/>
                <w:szCs w:val="20"/>
              </w:rPr>
              <w:t> </w:t>
            </w:r>
            <w:r>
              <w:rPr>
                <w:rFonts w:ascii="Trebuchet MS" w:hAnsi="Trebuchet MS"/>
                <w:szCs w:val="20"/>
              </w:rPr>
              <w:t> </w:t>
            </w:r>
            <w:r>
              <w:rPr>
                <w:rFonts w:ascii="Trebuchet MS" w:hAnsi="Trebuchet MS"/>
                <w:szCs w:val="20"/>
                <w:lang w:val="fr-FR"/>
              </w:rPr>
              <w:t>b)    5    persoane pentru un proiect cu o valoare intre  1.000.000 - 5.000.000 euro.</w:t>
            </w:r>
          </w:p>
          <w:p>
            <w:pPr>
              <w:spacing w:after="0" w:line="240" w:lineRule="auto"/>
              <w:jc w:val="both"/>
              <w:rPr>
                <w:rFonts w:ascii="Trebuchet MS" w:hAnsi="Trebuchet MS"/>
                <w:szCs w:val="20"/>
                <w:lang w:val="fr-FR"/>
              </w:rPr>
            </w:pPr>
            <w:r>
              <w:rPr>
                <w:rFonts w:ascii="Trebuchet MS" w:hAnsi="Trebuchet MS"/>
                <w:szCs w:val="20"/>
                <w:lang w:val="fr-FR"/>
              </w:rPr>
              <w:t xml:space="preserve">      Documentele justificative aferente cheltuielilor cu salariile:</w:t>
            </w:r>
          </w:p>
          <w:p>
            <w:pPr>
              <w:spacing w:after="0" w:line="240" w:lineRule="auto"/>
              <w:jc w:val="both"/>
              <w:rPr>
                <w:rFonts w:ascii="Trebuchet MS" w:hAnsi="Trebuchet MS"/>
                <w:szCs w:val="20"/>
                <w:lang w:val="fr-FR"/>
              </w:rPr>
            </w:pPr>
            <w:r>
              <w:rPr>
                <w:rFonts w:ascii="Trebuchet MS" w:hAnsi="Trebuchet MS"/>
                <w:szCs w:val="20"/>
                <w:lang w:val="fr-FR"/>
              </w:rPr>
              <w:t>•</w:t>
            </w:r>
            <w:r>
              <w:rPr>
                <w:rFonts w:ascii="Trebuchet MS" w:hAnsi="Trebuchet MS"/>
                <w:szCs w:val="20"/>
                <w:lang w:val="fr-FR"/>
              </w:rPr>
              <w:tab/>
              <w:t>Dispozitii/decizii/ordine de numire in echipa de management/implementare a proiectului</w:t>
            </w:r>
          </w:p>
          <w:p>
            <w:pPr>
              <w:spacing w:after="0" w:line="240" w:lineRule="auto"/>
              <w:jc w:val="both"/>
              <w:rPr>
                <w:rFonts w:ascii="Trebuchet MS" w:hAnsi="Trebuchet MS"/>
                <w:szCs w:val="20"/>
                <w:lang w:val="fr-FR"/>
              </w:rPr>
            </w:pPr>
            <w:r>
              <w:rPr>
                <w:rFonts w:ascii="Trebuchet MS" w:hAnsi="Trebuchet MS"/>
                <w:szCs w:val="20"/>
                <w:lang w:val="fr-FR"/>
              </w:rPr>
              <w:t>•</w:t>
            </w:r>
            <w:r>
              <w:rPr>
                <w:rFonts w:ascii="Trebuchet MS" w:hAnsi="Trebuchet MS"/>
                <w:szCs w:val="20"/>
                <w:lang w:val="fr-FR"/>
              </w:rPr>
              <w:tab/>
              <w:t>Contracte de muncă și ultimul act aditional la contractul de munca, daca este cazul si extras din REVISAL cu înregistrarea acestora</w:t>
            </w:r>
          </w:p>
          <w:p>
            <w:pPr>
              <w:spacing w:after="0" w:line="240" w:lineRule="auto"/>
              <w:jc w:val="both"/>
              <w:rPr>
                <w:rFonts w:ascii="Trebuchet MS" w:hAnsi="Trebuchet MS"/>
                <w:szCs w:val="20"/>
                <w:lang w:val="fr-FR"/>
              </w:rPr>
            </w:pPr>
            <w:r>
              <w:rPr>
                <w:rFonts w:ascii="Trebuchet MS" w:hAnsi="Trebuchet MS"/>
                <w:szCs w:val="20"/>
                <w:lang w:val="fr-FR"/>
              </w:rPr>
              <w:t>•</w:t>
            </w:r>
            <w:r>
              <w:rPr>
                <w:rFonts w:ascii="Trebuchet MS" w:hAnsi="Trebuchet MS"/>
                <w:szCs w:val="20"/>
                <w:lang w:val="fr-FR"/>
              </w:rPr>
              <w:tab/>
              <w:t>Actele administrative de decizie internă privind numirea în funcția publică, dacă este cazul</w:t>
            </w:r>
          </w:p>
          <w:p>
            <w:pPr>
              <w:spacing w:after="0" w:line="240" w:lineRule="auto"/>
              <w:jc w:val="both"/>
              <w:rPr>
                <w:rFonts w:ascii="Trebuchet MS" w:hAnsi="Trebuchet MS"/>
                <w:szCs w:val="20"/>
                <w:lang w:val="fr-FR"/>
              </w:rPr>
            </w:pPr>
            <w:r>
              <w:rPr>
                <w:rFonts w:ascii="Trebuchet MS" w:hAnsi="Trebuchet MS"/>
                <w:szCs w:val="20"/>
                <w:lang w:val="fr-FR"/>
              </w:rPr>
              <w:t>•</w:t>
            </w:r>
            <w:r>
              <w:rPr>
                <w:rFonts w:ascii="Trebuchet MS" w:hAnsi="Trebuchet MS"/>
                <w:szCs w:val="20"/>
                <w:lang w:val="fr-FR"/>
              </w:rPr>
              <w:tab/>
              <w:t xml:space="preserve">Fisele postului </w:t>
            </w:r>
          </w:p>
          <w:p>
            <w:pPr>
              <w:spacing w:after="0" w:line="240" w:lineRule="auto"/>
              <w:jc w:val="both"/>
              <w:rPr>
                <w:rFonts w:ascii="Trebuchet MS" w:hAnsi="Trebuchet MS"/>
                <w:szCs w:val="20"/>
                <w:lang w:val="fr-FR"/>
              </w:rPr>
            </w:pPr>
            <w:r>
              <w:rPr>
                <w:rFonts w:ascii="Trebuchet MS" w:hAnsi="Trebuchet MS"/>
                <w:szCs w:val="20"/>
                <w:lang w:val="fr-FR"/>
              </w:rPr>
              <w:t>•</w:t>
            </w:r>
            <w:r>
              <w:rPr>
                <w:rFonts w:ascii="Trebuchet MS" w:hAnsi="Trebuchet MS"/>
                <w:szCs w:val="20"/>
                <w:lang w:val="fr-FR"/>
              </w:rPr>
              <w:tab/>
              <w:t>Time-sheet-uri/pontaje pentru cei care nu au procent de 100% pe proiect</w:t>
            </w:r>
          </w:p>
          <w:p>
            <w:pPr>
              <w:spacing w:after="0" w:line="240" w:lineRule="auto"/>
              <w:jc w:val="both"/>
              <w:rPr>
                <w:rFonts w:ascii="Trebuchet MS" w:hAnsi="Trebuchet MS"/>
                <w:szCs w:val="20"/>
                <w:lang w:val="fr-FR"/>
              </w:rPr>
            </w:pPr>
            <w:r>
              <w:rPr>
                <w:rFonts w:ascii="Trebuchet MS" w:hAnsi="Trebuchet MS"/>
                <w:szCs w:val="20"/>
                <w:lang w:val="fr-FR"/>
              </w:rPr>
              <w:t>•</w:t>
            </w:r>
            <w:r>
              <w:rPr>
                <w:rFonts w:ascii="Trebuchet MS" w:hAnsi="Trebuchet MS"/>
                <w:szCs w:val="20"/>
                <w:lang w:val="fr-FR"/>
              </w:rPr>
              <w:tab/>
              <w:t>State de plata și centralizatoare ale acestora</w:t>
            </w:r>
          </w:p>
          <w:p>
            <w:pPr>
              <w:spacing w:after="0" w:line="240" w:lineRule="auto"/>
              <w:jc w:val="both"/>
              <w:rPr>
                <w:rFonts w:ascii="Trebuchet MS" w:hAnsi="Trebuchet MS"/>
                <w:szCs w:val="20"/>
                <w:lang w:val="fr-FR"/>
              </w:rPr>
            </w:pPr>
            <w:r>
              <w:rPr>
                <w:rFonts w:ascii="Trebuchet MS" w:hAnsi="Trebuchet MS"/>
                <w:szCs w:val="20"/>
                <w:lang w:val="fr-FR"/>
              </w:rPr>
              <w:t>•</w:t>
            </w:r>
            <w:r>
              <w:rPr>
                <w:rFonts w:ascii="Trebuchet MS" w:hAnsi="Trebuchet MS"/>
                <w:szCs w:val="20"/>
                <w:lang w:val="fr-FR"/>
              </w:rPr>
              <w:tab/>
              <w:t>Ordine de plata și extrase de cont</w:t>
            </w:r>
          </w:p>
          <w:p>
            <w:pPr>
              <w:autoSpaceDE w:val="0"/>
              <w:autoSpaceDN w:val="0"/>
              <w:adjustRightInd w:val="0"/>
              <w:spacing w:after="0" w:line="240" w:lineRule="auto"/>
              <w:jc w:val="both"/>
              <w:rPr>
                <w:rFonts w:ascii="Trebuchet MS" w:hAnsi="Trebuchet MS" w:cs="EC Square Sans Pro"/>
                <w:szCs w:val="20"/>
                <w:lang w:val="fr-FR"/>
              </w:rPr>
            </w:pPr>
            <w:r>
              <w:rPr>
                <w:rFonts w:ascii="Trebuchet MS" w:hAnsi="Trebuchet MS" w:cs="EC Square Sans Pro"/>
                <w:szCs w:val="20"/>
                <w:lang w:val="fr-FR"/>
              </w:rPr>
              <w:t>•</w:t>
            </w:r>
            <w:r>
              <w:rPr>
                <w:rFonts w:ascii="Trebuchet MS" w:hAnsi="Trebuchet MS" w:cs="EC Square Sans Pro"/>
                <w:szCs w:val="20"/>
                <w:lang w:val="fr-FR"/>
              </w:rPr>
              <w:tab/>
              <w:t xml:space="preserve">Registrul de casa, in cazul in care salariul </w:t>
            </w:r>
            <w:r>
              <w:rPr>
                <w:rFonts w:ascii="Trebuchet MS" w:hAnsi="Trebuchet MS" w:cs="EC Square Sans Pro"/>
                <w:szCs w:val="20"/>
                <w:lang w:val="fr-FR"/>
              </w:rPr>
              <w:lastRenderedPageBreak/>
              <w:t>se ridica de la casierie</w:t>
            </w:r>
          </w:p>
          <w:p>
            <w:pPr>
              <w:spacing w:line="240" w:lineRule="auto"/>
              <w:jc w:val="both"/>
              <w:rPr>
                <w:rFonts w:ascii="Trebuchet MS" w:hAnsi="Trebuchet MS"/>
                <w:b/>
                <w:bCs/>
                <w:szCs w:val="20"/>
              </w:rPr>
            </w:pPr>
            <w:r>
              <w:rPr>
                <w:rFonts w:ascii="Trebuchet MS" w:hAnsi="Trebuchet MS" w:cs="EC Square Sans Pro"/>
                <w:szCs w:val="20"/>
                <w:lang w:val="fr-FR"/>
              </w:rPr>
              <w:t xml:space="preserve">NOTA. </w:t>
            </w:r>
            <w:r>
              <w:rPr>
                <w:rFonts w:ascii="Trebuchet MS" w:hAnsi="Trebuchet MS" w:cs="EC Square Sans Pro"/>
                <w:i/>
                <w:szCs w:val="20"/>
                <w:lang w:val="fr-FR"/>
              </w:rPr>
              <w:t>Cheltuielile din categoria 9 sunt eligibile pentru categoriile 1-3 de solicitanți din prezentul ghid, cu respectarea prevederilor Codului Muncii si ale legislaţiei naţionale aplicabile, iar plafoanele salariale stabilite la nivelul administratiei publice locale pentru managementul de proiect din cadrul UAT în care se implementeaz</w:t>
            </w:r>
            <w:r>
              <w:rPr>
                <w:rFonts w:ascii="Trebuchet MS" w:hAnsi="Trebuchet MS" w:cs="EC Square Sans Pro"/>
                <w:i/>
                <w:szCs w:val="20"/>
              </w:rPr>
              <w:t>ă</w:t>
            </w:r>
            <w:r>
              <w:rPr>
                <w:rFonts w:ascii="Trebuchet MS" w:hAnsi="Trebuchet MS" w:cs="EC Square Sans Pro"/>
                <w:i/>
                <w:szCs w:val="20"/>
                <w:lang w:val="fr-FR"/>
              </w:rPr>
              <w:t xml:space="preserve"> proiectul reprezintă limite maxime care nu pot fi depășite.</w:t>
            </w:r>
          </w:p>
        </w:tc>
      </w:tr>
      <w:tr>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color w:val="FF0000"/>
                <w:szCs w:val="20"/>
              </w:rPr>
            </w:pP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szCs w:val="20"/>
              </w:rPr>
            </w:pPr>
            <w:r>
              <w:rPr>
                <w:rFonts w:ascii="Trebuchet MS" w:hAnsi="Trebuchet MS"/>
                <w:bCs/>
                <w:szCs w:val="20"/>
              </w:rPr>
              <w:t xml:space="preserve">22 - cheltuieli salariale directe aferente management de proiect </w:t>
            </w:r>
          </w:p>
          <w:p>
            <w:pPr>
              <w:spacing w:after="0" w:line="240" w:lineRule="auto"/>
              <w:jc w:val="both"/>
              <w:rPr>
                <w:rFonts w:ascii="Trebuchet MS" w:hAnsi="Trebuchet MS"/>
                <w:bCs/>
                <w:color w:val="FF0000"/>
                <w:szCs w:val="20"/>
              </w:rPr>
            </w:pPr>
          </w:p>
        </w:tc>
        <w:tc>
          <w:tcPr>
            <w:tcW w:w="5811" w:type="dxa"/>
            <w:vMerge/>
            <w:tcBorders>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color w:val="FF0000"/>
                <w:szCs w:val="20"/>
                <w:lang w:val="fr-FR"/>
              </w:rPr>
            </w:pPr>
          </w:p>
        </w:tc>
      </w:tr>
      <w:tr>
        <w:trPr>
          <w:trHeight w:val="1053"/>
        </w:trPr>
        <w:tc>
          <w:tcPr>
            <w:tcW w:w="1738" w:type="dxa"/>
            <w:vMerge w:val="restart"/>
            <w:tcBorders>
              <w:top w:val="nil"/>
              <w:left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r>
              <w:rPr>
                <w:rFonts w:ascii="Trebuchet MS" w:hAnsi="Trebuchet MS"/>
                <w:szCs w:val="20"/>
              </w:rPr>
              <w:lastRenderedPageBreak/>
              <w:t xml:space="preserve">12 - cheltuieli pentru obținerea și amenajarea terenului </w:t>
            </w:r>
          </w:p>
          <w:p>
            <w:pPr>
              <w:autoSpaceDE w:val="0"/>
              <w:autoSpaceDN w:val="0"/>
              <w:spacing w:after="0" w:line="240" w:lineRule="auto"/>
              <w:jc w:val="both"/>
              <w:rPr>
                <w:rFonts w:ascii="Trebuchet MS" w:hAnsi="Trebuchet M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rPr>
            </w:pPr>
            <w:r>
              <w:rPr>
                <w:rFonts w:ascii="Trebuchet MS" w:hAnsi="Trebuchet MS"/>
                <w:szCs w:val="20"/>
              </w:rPr>
              <w:t>34 - Cheltuieli achizitie teren*</w:t>
            </w:r>
          </w:p>
          <w:p>
            <w:pPr>
              <w:spacing w:after="0" w:line="240" w:lineRule="auto"/>
              <w:jc w:val="both"/>
              <w:rPr>
                <w:rFonts w:ascii="Trebuchet MS" w:hAnsi="Trebuchet MS"/>
                <w:szCs w:val="20"/>
              </w:rPr>
            </w:pPr>
          </w:p>
          <w:p>
            <w:pPr>
              <w:spacing w:after="0" w:line="240" w:lineRule="auto"/>
              <w:jc w:val="both"/>
              <w:rPr>
                <w:rFonts w:ascii="Trebuchet MS" w:hAnsi="Trebuchet MS"/>
                <w:szCs w:val="20"/>
              </w:rPr>
            </w:pPr>
          </w:p>
          <w:p>
            <w:pPr>
              <w:spacing w:after="0" w:line="240" w:lineRule="auto"/>
              <w:jc w:val="both"/>
              <w:rPr>
                <w:rFonts w:ascii="Trebuchet MS" w:hAnsi="Trebuchet MS"/>
                <w:szCs w:val="20"/>
              </w:rPr>
            </w:pPr>
            <w:r>
              <w:rPr>
                <w:rFonts w:ascii="Trebuchet MS" w:hAnsi="Trebuchet MS"/>
                <w:szCs w:val="20"/>
              </w:rPr>
              <w:t>*Nu sunt eligibile pentru intreprinderile de economie sociala de insertie.</w:t>
            </w:r>
          </w:p>
          <w:p>
            <w:pPr>
              <w:spacing w:after="0" w:line="240" w:lineRule="auto"/>
              <w:jc w:val="both"/>
              <w:rPr>
                <w:rFonts w:ascii="Trebuchet MS" w:hAnsi="Trebuchet MS"/>
                <w:color w:val="000000"/>
                <w:szCs w:val="20"/>
                <w:lang w:eastAsia="ro-RO"/>
              </w:rPr>
            </w:pPr>
            <w:r>
              <w:rPr>
                <w:rFonts w:ascii="Trebuchet MS" w:hAnsi="Trebuchet MS"/>
                <w:szCs w:val="20"/>
                <w:highlight w:val="yellow"/>
              </w:rPr>
              <w:t>Nu sunt eligibile proiectele care includ cheltuielile de achizitie a constructiei</w:t>
            </w:r>
            <w:r>
              <w:rPr>
                <w:rFonts w:ascii="Trebuchet MS" w:hAnsi="Trebuchet MS"/>
                <w:szCs w:val="20"/>
              </w:rPr>
              <w:t>.</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rPr>
            </w:pPr>
            <w:r>
              <w:rPr>
                <w:rFonts w:ascii="Trebuchet MS" w:hAnsi="Trebuchet MS"/>
                <w:szCs w:val="20"/>
              </w:rPr>
              <w:t>Se includ cheltuielile efectuate pentru cumpararea de terenuri cu sau fara constructii in limita a 10% din valoarea totala eligibila a proiectului – in conformitate cu HG nr. 399/2015 privind regulile de eligibilitate a cheltuielilor efectuate in cadrul operatiunilor finantate prin Fondul European de dezvoltare, Fondul social european si Fondul de Coeziune 2014-2020.</w:t>
            </w:r>
          </w:p>
          <w:p>
            <w:pPr>
              <w:spacing w:line="240" w:lineRule="auto"/>
              <w:jc w:val="both"/>
              <w:rPr>
                <w:rFonts w:ascii="Trebuchet MS" w:hAnsi="Trebuchet MS"/>
                <w:szCs w:val="20"/>
              </w:rPr>
            </w:pPr>
            <w:r>
              <w:rPr>
                <w:rFonts w:ascii="Trebuchet MS" w:hAnsi="Trebuchet MS"/>
                <w:szCs w:val="20"/>
              </w:rPr>
              <w:t>Valoarea terenurilor achizitionate, se va stabili pe baza evaluarii efectuate de un expert ANEVAR (conform legislatieie in vigoare&gt; HG 353/2012 si Ordonanta Guvernului nr. 24/2011 , cu modificarile si completarile ulterioare.</w:t>
            </w:r>
          </w:p>
        </w:tc>
      </w:tr>
      <w:tr>
        <w:trPr>
          <w:trHeight w:val="1053"/>
        </w:trPr>
        <w:tc>
          <w:tcPr>
            <w:tcW w:w="1738" w:type="dxa"/>
            <w:vMerge/>
            <w:tcBorders>
              <w:left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fr-FR"/>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color w:val="000000"/>
                <w:szCs w:val="20"/>
                <w:lang w:eastAsia="ro-RO"/>
              </w:rPr>
            </w:pPr>
            <w:r>
              <w:rPr>
                <w:rFonts w:ascii="Trebuchet MS" w:hAnsi="Trebuchet MS"/>
                <w:color w:val="000000"/>
                <w:szCs w:val="20"/>
                <w:lang w:eastAsia="ro-RO"/>
              </w:rPr>
              <w:t>38 - cheltuieli pentru amenajarea terenului</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spacing w:line="240" w:lineRule="auto"/>
              <w:jc w:val="both"/>
              <w:rPr>
                <w:rFonts w:ascii="Trebuchet MS" w:hAnsi="Trebuchet MS"/>
                <w:szCs w:val="20"/>
              </w:rPr>
            </w:pPr>
            <w:r>
              <w:rPr>
                <w:rFonts w:ascii="Trebuchet MS" w:hAnsi="Trebuchet MS"/>
                <w:szCs w:val="20"/>
              </w:rPr>
              <w:t>Se includ cheltuielile efectuate pentru pregătirea amplasamentului şi care constau în demolări, demontări, dezafectări, defrişări, colectare, sortare și transport la depozitele autorizate a deșeurilor, sistematizări pe verticală, accesuri/drumuri/alei/parcări/drenuri/rigole/canale de scurgere, ziduri de sprijin, drenaje, epuizmente (exclusiv cele aferente realizării lucrărilor pentru investiţia de bază), descărcări de sarcină arheologică sau, după caz, protejare în timpul execuției obiectivului de investiții (în cazul executării unor lucrări pe amplasamente ce fac parte din Lista monumentelor istorice sau din Repertoriul arheologic național), lucrări pentru pregătirea amplasamentului, relocarea/protecția utilităților (devieri reţele de utilităţi din amplasament.</w:t>
            </w:r>
          </w:p>
        </w:tc>
      </w:tr>
      <w:tr>
        <w:trPr>
          <w:trHeight w:val="649"/>
        </w:trPr>
        <w:tc>
          <w:tcPr>
            <w:tcW w:w="0" w:type="auto"/>
            <w:vMerge/>
            <w:tcBorders>
              <w:left w:val="single" w:sz="8" w:space="0" w:color="auto"/>
              <w:bottom w:val="single" w:sz="8" w:space="0" w:color="auto"/>
              <w:right w:val="single" w:sz="8" w:space="0" w:color="auto"/>
            </w:tcBorders>
            <w:vAlign w:val="center"/>
            <w:hideMark/>
          </w:tcPr>
          <w:p>
            <w:pPr>
              <w:spacing w:after="0" w:line="240" w:lineRule="auto"/>
              <w:rPr>
                <w:rFonts w:ascii="Trebuchet MS" w:hAnsi="Trebuchet M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color w:val="000000"/>
                <w:szCs w:val="20"/>
                <w:lang w:eastAsia="ro-RO"/>
              </w:rPr>
              <w:t>39 - cheltuieli cu amenajări pentru protecţia mediului şi aducerea la starea iniţială</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rPr>
            </w:pPr>
            <w:r>
              <w:rPr>
                <w:rFonts w:ascii="Trebuchet MS" w:hAnsi="Trebuchet MS"/>
                <w:szCs w:val="20"/>
              </w:rPr>
              <w:t>Se includ cheltuielile efectuate pentru lucrări şi acţiuni de protecţia mediului, inclusiv pentru refacerea cadrului natural după terminarea lucrărilor, precum plantare de copaci, reamenajare spaţii verzi, lucrări/acțiuni pentru protecția mediului.</w:t>
            </w:r>
          </w:p>
          <w:p>
            <w:pPr>
              <w:spacing w:after="0" w:line="240" w:lineRule="auto"/>
              <w:jc w:val="both"/>
              <w:rPr>
                <w:rFonts w:ascii="Trebuchet MS" w:hAnsi="Trebuchet MS"/>
                <w:szCs w:val="20"/>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r>
              <w:rPr>
                <w:rFonts w:ascii="Trebuchet MS" w:hAnsi="Trebuchet MS"/>
                <w:szCs w:val="20"/>
              </w:rPr>
              <w:t xml:space="preserve">13 - cheltuieli pentru asigurarea utilităţilor necesare obiectivului </w:t>
            </w:r>
          </w:p>
          <w:p>
            <w:pPr>
              <w:spacing w:after="0" w:line="240" w:lineRule="auto"/>
              <w:jc w:val="both"/>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r>
              <w:rPr>
                <w:rFonts w:ascii="Trebuchet MS" w:hAnsi="Trebuchet MS"/>
                <w:szCs w:val="20"/>
              </w:rPr>
              <w:t xml:space="preserve">40 - cheltuieli pentru asigurarea utilităţilor necesare obiectivului </w:t>
            </w:r>
          </w:p>
          <w:p>
            <w:pPr>
              <w:spacing w:after="0" w:line="240" w:lineRule="auto"/>
              <w:jc w:val="both"/>
              <w:rPr>
                <w:rFonts w:ascii="Trebuchet MS" w:hAnsi="Trebuchet MS"/>
                <w:b/>
                <w:bCs/>
                <w:szCs w:val="20"/>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rPr>
            </w:pPr>
            <w:r>
              <w:rPr>
                <w:rFonts w:ascii="Trebuchet MS" w:hAnsi="Trebuchet MS"/>
                <w:szCs w:val="20"/>
              </w:rPr>
              <w:t>Se includ cheltuielile aferente lucrărilor pentru asigurarea cu utilităţile necesare funcţionării obiectivului de investiţie, care se execută pe amplasamentul delimitat din punct de vedere juridic ca aparţinând obiectivului de investiţie, precum și cheltuielile aferente racordării la reţelele de utilităţi, precum: alimentare cu apă, canalizare, alimentare cu gaze naturale, agent termic, energie electrică, telecomunicaţii, drumuri de acces, iluminat public, salubrizare,alte utilități.</w:t>
            </w:r>
          </w:p>
          <w:p>
            <w:pPr>
              <w:spacing w:after="0" w:line="240" w:lineRule="auto"/>
              <w:jc w:val="both"/>
              <w:rPr>
                <w:rFonts w:ascii="Trebuchet MS" w:hAnsi="Trebuchet MS"/>
                <w:szCs w:val="20"/>
              </w:rPr>
            </w:pPr>
          </w:p>
        </w:tc>
      </w:tr>
      <w:tr>
        <w:trPr>
          <w:trHeight w:val="188"/>
        </w:trPr>
        <w:tc>
          <w:tcPr>
            <w:tcW w:w="17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fr-FR"/>
              </w:rPr>
            </w:pPr>
            <w:r>
              <w:rPr>
                <w:rFonts w:ascii="Trebuchet MS" w:hAnsi="Trebuchet MS"/>
                <w:szCs w:val="20"/>
                <w:lang w:val="fr-FR"/>
              </w:rPr>
              <w:t xml:space="preserve">14 - cheltuieli pentru proiectare și asistență tehnică </w:t>
            </w:r>
          </w:p>
          <w:p>
            <w:pPr>
              <w:autoSpaceDE w:val="0"/>
              <w:autoSpaceDN w:val="0"/>
              <w:spacing w:after="0" w:line="240" w:lineRule="auto"/>
              <w:jc w:val="both"/>
              <w:rPr>
                <w:rFonts w:ascii="Trebuchet MS" w:hAnsi="Trebuchet MS"/>
                <w:szCs w:val="20"/>
                <w:lang w:val="fr-FR"/>
              </w:rPr>
            </w:pPr>
          </w:p>
          <w:p>
            <w:pPr>
              <w:autoSpaceDE w:val="0"/>
              <w:autoSpaceDN w:val="0"/>
              <w:spacing w:after="0" w:line="240" w:lineRule="auto"/>
              <w:jc w:val="both"/>
              <w:rPr>
                <w:rFonts w:ascii="Trebuchet MS" w:hAnsi="Trebuchet MS"/>
                <w:szCs w:val="20"/>
                <w:lang w:val="fr-FR"/>
              </w:rPr>
            </w:pPr>
          </w:p>
          <w:p>
            <w:pPr>
              <w:spacing w:line="240" w:lineRule="auto"/>
              <w:jc w:val="both"/>
              <w:rPr>
                <w:rFonts w:ascii="Trebuchet MS" w:hAnsi="Trebuchet MS"/>
                <w:b/>
                <w:bCs/>
                <w:szCs w:val="20"/>
              </w:rPr>
            </w:pPr>
            <w:r>
              <w:rPr>
                <w:rFonts w:ascii="Trebuchet MS" w:hAnsi="Trebuchet MS"/>
                <w:szCs w:val="20"/>
              </w:rPr>
              <w:t xml:space="preserve">Cheltuieli pentru proiectare şi asistenţă tehnică sunt eligibile cumulat, în limita a 10% din valoarea cheltuielilor eligibile finanțate în cadrul capitlolul 4 „Cheltuieli pentru investiția de </w:t>
            </w:r>
            <w:r>
              <w:rPr>
                <w:rFonts w:ascii="Trebuchet MS" w:hAnsi="Trebuchet MS"/>
                <w:szCs w:val="20"/>
              </w:rPr>
              <w:lastRenderedPageBreak/>
              <w:t xml:space="preserve">bază” </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color w:val="000000"/>
                <w:szCs w:val="20"/>
                <w:lang w:eastAsia="ro-RO"/>
              </w:rPr>
              <w:lastRenderedPageBreak/>
              <w:t>42 - studii de teren</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rPr>
            </w:pPr>
            <w:r>
              <w:rPr>
                <w:rFonts w:ascii="Trebuchet MS" w:hAnsi="Trebuchet MS"/>
                <w:szCs w:val="20"/>
              </w:rPr>
              <w:t>Se cuprind cheltuielile pentru studii geotehnice, geologice, hidrologice, hidrogeotehnice, fotogrammetrice, topografice şi de stabilitate ale terenului pe care se amplasează obiectivul de investiţie, studii de specialitate necesare în funcţie de specificul investiţiei.</w:t>
            </w:r>
          </w:p>
          <w:p>
            <w:pPr>
              <w:spacing w:after="0" w:line="240" w:lineRule="auto"/>
              <w:jc w:val="both"/>
              <w:rPr>
                <w:rFonts w:ascii="Trebuchet MS" w:hAnsi="Trebuchet MS"/>
                <w:szCs w:val="20"/>
              </w:rPr>
            </w:pP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color w:val="000000"/>
                <w:szCs w:val="20"/>
                <w:lang w:eastAsia="ro-RO"/>
              </w:rPr>
              <w:t>43 - cheltuieli pentru obținere avize, acorduri, autorizații</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rPr>
            </w:pPr>
            <w:r>
              <w:rPr>
                <w:rFonts w:ascii="Trebuchet MS" w:hAnsi="Trebuchet MS"/>
                <w:szCs w:val="20"/>
              </w:rPr>
              <w:t>Se includ cheltuielile pentru:</w:t>
            </w:r>
          </w:p>
          <w:p>
            <w:pPr>
              <w:numPr>
                <w:ilvl w:val="0"/>
                <w:numId w:val="31"/>
              </w:numPr>
              <w:spacing w:after="0" w:line="240" w:lineRule="auto"/>
              <w:jc w:val="both"/>
              <w:rPr>
                <w:rFonts w:ascii="Trebuchet MS" w:hAnsi="Trebuchet MS"/>
                <w:szCs w:val="20"/>
              </w:rPr>
            </w:pPr>
            <w:r>
              <w:rPr>
                <w:rFonts w:ascii="Trebuchet MS" w:hAnsi="Trebuchet MS"/>
                <w:szCs w:val="20"/>
              </w:rPr>
              <w:t>obţinerea/prelungirea valabilităţii certificatului de urbanism, precum şi toate taxele pentru avizele cerute prin certificatul de urbanism, taxa pentru obţinerea/prelungirea valabilităţii autorizaţiei de construire/desfiinţare, conform prevederilor legale în vigoare;</w:t>
            </w:r>
          </w:p>
          <w:p>
            <w:pPr>
              <w:numPr>
                <w:ilvl w:val="0"/>
                <w:numId w:val="31"/>
              </w:numPr>
              <w:spacing w:after="0" w:line="240" w:lineRule="auto"/>
              <w:jc w:val="both"/>
              <w:rPr>
                <w:rFonts w:ascii="Trebuchet MS" w:hAnsi="Trebuchet MS"/>
                <w:szCs w:val="20"/>
              </w:rPr>
            </w:pPr>
            <w:r>
              <w:rPr>
                <w:rFonts w:ascii="Trebuchet MS" w:hAnsi="Trebuchet MS"/>
                <w:szCs w:val="20"/>
              </w:rPr>
              <w:t>obţinerea avizelor şi acordurilor pentru racorduri şi branşamente la reţele publice de apă, canalizare, gaze, termoficare, energie electrică, telefonie, iluminat public;</w:t>
            </w:r>
          </w:p>
          <w:p>
            <w:pPr>
              <w:numPr>
                <w:ilvl w:val="0"/>
                <w:numId w:val="31"/>
              </w:numPr>
              <w:spacing w:after="0" w:line="240" w:lineRule="auto"/>
              <w:jc w:val="both"/>
              <w:rPr>
                <w:rFonts w:ascii="Trebuchet MS" w:hAnsi="Trebuchet MS"/>
                <w:szCs w:val="20"/>
              </w:rPr>
            </w:pPr>
            <w:r>
              <w:rPr>
                <w:rFonts w:ascii="Trebuchet MS" w:hAnsi="Trebuchet MS"/>
                <w:szCs w:val="20"/>
              </w:rPr>
              <w:t>întocmirea documentaţiei, obţinerea numărului cadastral provizoriu şi înregistrarea terenului în cartea funciară;</w:t>
            </w:r>
          </w:p>
          <w:p>
            <w:pPr>
              <w:numPr>
                <w:ilvl w:val="0"/>
                <w:numId w:val="31"/>
              </w:numPr>
              <w:spacing w:after="0" w:line="240" w:lineRule="auto"/>
              <w:jc w:val="both"/>
              <w:rPr>
                <w:rFonts w:ascii="Trebuchet MS" w:hAnsi="Trebuchet MS"/>
                <w:szCs w:val="20"/>
              </w:rPr>
            </w:pPr>
            <w:r>
              <w:rPr>
                <w:rFonts w:ascii="Trebuchet MS" w:hAnsi="Trebuchet MS"/>
                <w:szCs w:val="20"/>
              </w:rPr>
              <w:t>obţinerea acordului de mediu;</w:t>
            </w:r>
          </w:p>
          <w:p>
            <w:pPr>
              <w:numPr>
                <w:ilvl w:val="0"/>
                <w:numId w:val="31"/>
              </w:numPr>
              <w:spacing w:after="0" w:line="240" w:lineRule="auto"/>
              <w:jc w:val="both"/>
              <w:rPr>
                <w:rFonts w:ascii="Trebuchet MS" w:hAnsi="Trebuchet MS"/>
                <w:szCs w:val="20"/>
              </w:rPr>
            </w:pPr>
            <w:r>
              <w:rPr>
                <w:rFonts w:ascii="Trebuchet MS" w:hAnsi="Trebuchet MS"/>
                <w:szCs w:val="20"/>
              </w:rPr>
              <w:t>obţinerea avizului de protecţie civilă/PSI;</w:t>
            </w:r>
          </w:p>
          <w:p>
            <w:pPr>
              <w:numPr>
                <w:ilvl w:val="0"/>
                <w:numId w:val="31"/>
              </w:numPr>
              <w:spacing w:after="0" w:line="240" w:lineRule="auto"/>
              <w:jc w:val="both"/>
              <w:rPr>
                <w:rFonts w:ascii="Trebuchet MS" w:hAnsi="Trebuchet MS"/>
                <w:szCs w:val="20"/>
              </w:rPr>
            </w:pPr>
            <w:r>
              <w:rPr>
                <w:rFonts w:ascii="Trebuchet MS" w:hAnsi="Trebuchet MS"/>
                <w:szCs w:val="20"/>
              </w:rPr>
              <w:lastRenderedPageBreak/>
              <w:t>alte avize, acorduri şi autorizaţii.</w:t>
            </w:r>
          </w:p>
          <w:p>
            <w:pPr>
              <w:spacing w:after="0" w:line="240" w:lineRule="auto"/>
              <w:ind w:left="360" w:firstLine="45"/>
              <w:jc w:val="both"/>
              <w:rPr>
                <w:rFonts w:ascii="Trebuchet MS" w:hAnsi="Trebuchet MS"/>
                <w:szCs w:val="20"/>
              </w:rPr>
            </w:pPr>
          </w:p>
        </w:tc>
      </w:tr>
      <w:tr>
        <w:trPr>
          <w:trHeight w:val="188"/>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color w:val="000000"/>
                <w:szCs w:val="20"/>
                <w:lang w:eastAsia="ro-RO"/>
              </w:rPr>
              <w:t>44 - proiectare și inginerie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rPr>
            </w:pPr>
            <w:r>
              <w:rPr>
                <w:rFonts w:ascii="Trebuchet MS" w:hAnsi="Trebuchet MS"/>
                <w:szCs w:val="20"/>
              </w:rPr>
              <w:t>Se includ cheltuielile efectuate pentru: elaborarea documentațiilor tehnice - expertiza tehnică,etc - și documentaţie de avizare a lucrărilor de intervenţii, studiu de fezabilitate, proiect tehnic, detalii de execuţie, verificarea tehnică a proiectului; elaborarea documentaţiilor necesare obţinerii acordurilor, avizelor şi autorizaţiilor, acordurilor impuse prin certificatul de urbanism, documentaţii urbanistice, studii de impact, studii/expertize de amplasament, studii de trafic, studii de specialitate necesare în funcție de specificul investiției.</w:t>
            </w:r>
          </w:p>
          <w:p>
            <w:pPr>
              <w:spacing w:after="0" w:line="240" w:lineRule="auto"/>
              <w:jc w:val="both"/>
              <w:rPr>
                <w:rFonts w:ascii="Trebuchet MS" w:hAnsi="Trebuchet MS"/>
                <w:szCs w:val="20"/>
              </w:rPr>
            </w:pP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color w:val="000000"/>
                <w:szCs w:val="20"/>
                <w:lang w:eastAsia="ro-RO"/>
              </w:rPr>
              <w:t>45 - cheltuieli pentru consultanță</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rPr>
            </w:pPr>
            <w:r>
              <w:rPr>
                <w:rFonts w:ascii="Trebuchet MS" w:hAnsi="Trebuchet MS"/>
                <w:szCs w:val="20"/>
              </w:rPr>
              <w:t>Se includ cheltuielile efectuate, după caz, pentru:</w:t>
            </w:r>
          </w:p>
          <w:p>
            <w:pPr>
              <w:numPr>
                <w:ilvl w:val="0"/>
                <w:numId w:val="29"/>
              </w:numPr>
              <w:spacing w:after="160" w:line="240" w:lineRule="auto"/>
              <w:contextualSpacing/>
              <w:jc w:val="both"/>
              <w:rPr>
                <w:rFonts w:ascii="Trebuchet MS" w:hAnsi="Trebuchet MS"/>
                <w:szCs w:val="20"/>
                <w:lang w:eastAsia="ro-RO"/>
              </w:rPr>
            </w:pPr>
            <w:r>
              <w:rPr>
                <w:rFonts w:ascii="Trebuchet MS" w:hAnsi="Trebuchet MS"/>
                <w:szCs w:val="20"/>
                <w:lang w:eastAsia="ro-RO"/>
              </w:rPr>
              <w:t>plata serviciilor de consultanţă la elaborarea cererii de finantare și a tuturor studiilor necesare intocmirii acesteia, cu excepția studiilor de teren;</w:t>
            </w:r>
          </w:p>
          <w:p>
            <w:pPr>
              <w:numPr>
                <w:ilvl w:val="0"/>
                <w:numId w:val="29"/>
              </w:numPr>
              <w:spacing w:after="160" w:line="240" w:lineRule="auto"/>
              <w:contextualSpacing/>
              <w:jc w:val="both"/>
              <w:rPr>
                <w:rFonts w:ascii="Trebuchet MS" w:hAnsi="Trebuchet MS"/>
                <w:szCs w:val="20"/>
                <w:lang w:eastAsia="ro-RO"/>
              </w:rPr>
            </w:pPr>
            <w:r>
              <w:rPr>
                <w:rFonts w:ascii="Trebuchet MS" w:hAnsi="Trebuchet MS"/>
                <w:szCs w:val="20"/>
                <w:lang w:eastAsia="ro-RO"/>
              </w:rPr>
              <w:t>plata serviciilor de consultanţă în domeniul managementului proiectului;</w:t>
            </w:r>
          </w:p>
          <w:p>
            <w:pPr>
              <w:numPr>
                <w:ilvl w:val="0"/>
                <w:numId w:val="29"/>
              </w:numPr>
              <w:spacing w:after="160" w:line="240" w:lineRule="auto"/>
              <w:contextualSpacing/>
              <w:jc w:val="both"/>
              <w:rPr>
                <w:rFonts w:ascii="Trebuchet MS" w:hAnsi="Trebuchet MS"/>
                <w:szCs w:val="20"/>
                <w:lang w:eastAsia="ro-RO"/>
              </w:rPr>
            </w:pPr>
            <w:r>
              <w:rPr>
                <w:rFonts w:ascii="Trebuchet MS" w:hAnsi="Trebuchet MS"/>
                <w:szCs w:val="20"/>
                <w:lang w:eastAsia="ro-RO"/>
              </w:rPr>
              <w:t>serviciile de consultanţă/asistenţă juridică în scopul elaborării documentaţiei de atribuire şi/sau aplicării procedurilor de atribuire a contractelor de achiziţie publică, dacă este cazul.</w:t>
            </w:r>
          </w:p>
          <w:p>
            <w:pPr>
              <w:spacing w:after="0" w:line="240" w:lineRule="auto"/>
              <w:ind w:left="176"/>
              <w:jc w:val="both"/>
              <w:rPr>
                <w:rFonts w:ascii="Trebuchet MS" w:hAnsi="Trebuchet MS"/>
                <w:szCs w:val="20"/>
              </w:rPr>
            </w:pPr>
          </w:p>
        </w:tc>
      </w:tr>
      <w:tr>
        <w:trPr>
          <w:trHeight w:val="188"/>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color w:val="000000"/>
                <w:szCs w:val="20"/>
                <w:lang w:eastAsia="ro-RO"/>
              </w:rPr>
              <w:t>46 - cheltuieli pentru asistență tehnică</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szCs w:val="20"/>
              </w:rPr>
            </w:pPr>
            <w:r>
              <w:rPr>
                <w:rFonts w:ascii="Trebuchet MS" w:hAnsi="Trebuchet MS"/>
                <w:szCs w:val="20"/>
              </w:rPr>
              <w:t>Se includ cheltuielile efectuate, după caz, pentru:</w:t>
            </w:r>
          </w:p>
          <w:p>
            <w:pPr>
              <w:numPr>
                <w:ilvl w:val="0"/>
                <w:numId w:val="30"/>
              </w:numPr>
              <w:spacing w:after="0" w:line="240" w:lineRule="auto"/>
              <w:ind w:left="426" w:hanging="426"/>
              <w:contextualSpacing/>
              <w:jc w:val="both"/>
              <w:rPr>
                <w:rFonts w:ascii="Trebuchet MS" w:hAnsi="Trebuchet MS"/>
                <w:szCs w:val="20"/>
                <w:lang w:eastAsia="ro-RO"/>
              </w:rPr>
            </w:pPr>
            <w:r>
              <w:rPr>
                <w:rFonts w:ascii="Trebuchet MS" w:hAnsi="Trebuchet MS"/>
                <w:szCs w:val="20"/>
                <w:lang w:eastAsia="ro-RO"/>
              </w:rPr>
              <w:t>asistenţă tehnică din partea proiectantului pe perioada de execuţie a lucrărilor (în cazul în care aceasta nu intră în tarifarea proiectului); pentru participarea proiectantului la fazele incluse în programul de control al lucrărilor de execuție, avizat de către Inspectoratul de Stat în Construcții;</w:t>
            </w:r>
          </w:p>
          <w:p>
            <w:pPr>
              <w:numPr>
                <w:ilvl w:val="0"/>
                <w:numId w:val="30"/>
              </w:numPr>
              <w:spacing w:after="0" w:line="240" w:lineRule="auto"/>
              <w:contextualSpacing/>
              <w:jc w:val="both"/>
              <w:rPr>
                <w:rFonts w:ascii="Trebuchet MS" w:hAnsi="Trebuchet MS"/>
                <w:szCs w:val="20"/>
              </w:rPr>
            </w:pPr>
            <w:r>
              <w:rPr>
                <w:rFonts w:ascii="Trebuchet MS" w:hAnsi="Trebuchet MS"/>
                <w:szCs w:val="20"/>
                <w:lang w:eastAsia="ro-RO"/>
              </w:rPr>
              <w:t>plata diriginţilor de şantier, desemnaţi de autoritatea contractantă, autorizaţi conform prevederilor legale pentru verificarea execuţiei lucrărilor de construcţii şi instalaţii.</w:t>
            </w:r>
          </w:p>
        </w:tc>
      </w:tr>
      <w:tr>
        <w:trPr>
          <w:trHeight w:val="188"/>
        </w:trPr>
        <w:tc>
          <w:tcPr>
            <w:tcW w:w="17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r>
              <w:rPr>
                <w:rFonts w:ascii="Trebuchet MS" w:hAnsi="Trebuchet MS"/>
                <w:szCs w:val="20"/>
              </w:rPr>
              <w:t xml:space="preserve">15 - cheltuieli </w:t>
            </w:r>
            <w:r>
              <w:rPr>
                <w:rFonts w:ascii="Trebuchet MS" w:hAnsi="Trebuchet MS"/>
                <w:szCs w:val="20"/>
              </w:rPr>
              <w:lastRenderedPageBreak/>
              <w:t xml:space="preserve">pentru investiția de bază </w:t>
            </w:r>
          </w:p>
          <w:p>
            <w:pPr>
              <w:spacing w:after="0" w:line="240" w:lineRule="auto"/>
              <w:jc w:val="both"/>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rPr>
            </w:pPr>
            <w:r>
              <w:rPr>
                <w:rFonts w:ascii="Trebuchet MS" w:hAnsi="Trebuchet MS"/>
                <w:color w:val="000000"/>
                <w:szCs w:val="20"/>
                <w:lang w:eastAsia="ro-RO"/>
              </w:rPr>
              <w:lastRenderedPageBreak/>
              <w:t xml:space="preserve">53 - cheltuieli pentru </w:t>
            </w:r>
            <w:r>
              <w:rPr>
                <w:rFonts w:ascii="Trebuchet MS" w:hAnsi="Trebuchet MS"/>
                <w:color w:val="000000"/>
                <w:szCs w:val="20"/>
                <w:lang w:eastAsia="ro-RO"/>
              </w:rPr>
              <w:lastRenderedPageBreak/>
              <w:t>construcții și instalații</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ind w:firstLine="360"/>
              <w:rPr>
                <w:rFonts w:ascii="Trebuchet MS" w:hAnsi="Trebuchet MS"/>
                <w:b/>
                <w:bCs/>
                <w:szCs w:val="20"/>
              </w:rPr>
            </w:pPr>
            <w:r>
              <w:rPr>
                <w:rFonts w:ascii="Trebuchet MS" w:hAnsi="Trebuchet MS"/>
                <w:szCs w:val="20"/>
              </w:rPr>
              <w:lastRenderedPageBreak/>
              <w:t xml:space="preserve">Cuprind cheltuielile </w:t>
            </w:r>
            <w:r>
              <w:rPr>
                <w:rFonts w:ascii="Trebuchet MS" w:hAnsi="Trebuchet MS"/>
                <w:b/>
                <w:bCs/>
                <w:szCs w:val="20"/>
              </w:rPr>
              <w:t xml:space="preserve">pentru execuţia de </w:t>
            </w:r>
            <w:r>
              <w:rPr>
                <w:rFonts w:ascii="Trebuchet MS" w:hAnsi="Trebuchet MS"/>
                <w:b/>
                <w:bCs/>
                <w:szCs w:val="20"/>
              </w:rPr>
              <w:lastRenderedPageBreak/>
              <w:t>lucrări aferente investiţiei de bază, inclusiv echipamente cu montaj</w:t>
            </w:r>
          </w:p>
          <w:p>
            <w:pPr>
              <w:numPr>
                <w:ilvl w:val="0"/>
                <w:numId w:val="32"/>
              </w:numPr>
              <w:spacing w:after="0" w:line="240" w:lineRule="auto"/>
              <w:jc w:val="both"/>
              <w:rPr>
                <w:rFonts w:ascii="Trebuchet MS" w:hAnsi="Trebuchet MS"/>
                <w:szCs w:val="20"/>
              </w:rPr>
            </w:pPr>
            <w:r>
              <w:rPr>
                <w:rFonts w:ascii="Trebuchet MS" w:hAnsi="Trebuchet MS"/>
                <w:szCs w:val="20"/>
              </w:rPr>
              <w:t xml:space="preserve">Cheltuieli cu amenajarea spațiilor publice urbane- zone verzi neamenajate, terenuri abandonate,  zone pietonale si comerciale, pasarele (defrișarea vegetației existente; modelarea terenului;  montarea elementelor constructive de tipul alei, foișoare, pergole, grilaje etc.; plantarea/gazonarea suprafețelor, inclusiv plantare arbori) </w:t>
            </w:r>
          </w:p>
          <w:p>
            <w:pPr>
              <w:numPr>
                <w:ilvl w:val="0"/>
                <w:numId w:val="32"/>
              </w:numPr>
              <w:spacing w:after="0" w:line="240" w:lineRule="auto"/>
              <w:jc w:val="both"/>
              <w:rPr>
                <w:rFonts w:ascii="Trebuchet MS" w:hAnsi="Trebuchet MS"/>
                <w:szCs w:val="20"/>
              </w:rPr>
            </w:pPr>
            <w:r>
              <w:rPr>
                <w:rFonts w:ascii="Trebuchet MS" w:hAnsi="Trebuchet MS"/>
                <w:szCs w:val="20"/>
              </w:rPr>
              <w:t>Cheltuieli cu construcție/reabilitare/modernizare si dotare piete publice, scuaruri, parculete</w:t>
            </w:r>
          </w:p>
          <w:p>
            <w:pPr>
              <w:numPr>
                <w:ilvl w:val="0"/>
                <w:numId w:val="32"/>
              </w:numPr>
              <w:spacing w:after="0" w:line="240" w:lineRule="auto"/>
              <w:jc w:val="both"/>
              <w:rPr>
                <w:rFonts w:ascii="Trebuchet MS" w:hAnsi="Trebuchet MS"/>
                <w:szCs w:val="20"/>
              </w:rPr>
            </w:pPr>
            <w:r>
              <w:rPr>
                <w:rFonts w:ascii="Trebuchet MS" w:hAnsi="Trebuchet MS"/>
                <w:szCs w:val="20"/>
              </w:rPr>
              <w:t>Cheltuieli cu crearea de facilități pentru activitati sportive si de recreere pe terenurile amenajate (ex. zone speciale pentru sport, locuri de joacă pentru copii, terenuri de sport etc.)</w:t>
            </w:r>
          </w:p>
          <w:p>
            <w:pPr>
              <w:numPr>
                <w:ilvl w:val="0"/>
                <w:numId w:val="32"/>
              </w:numPr>
              <w:spacing w:after="0" w:line="240" w:lineRule="auto"/>
              <w:jc w:val="both"/>
              <w:rPr>
                <w:rFonts w:ascii="Trebuchet MS" w:hAnsi="Trebuchet MS"/>
                <w:szCs w:val="20"/>
              </w:rPr>
            </w:pPr>
            <w:r>
              <w:rPr>
                <w:rFonts w:ascii="Trebuchet MS" w:hAnsi="Trebuchet MS"/>
                <w:szCs w:val="20"/>
              </w:rPr>
              <w:t>Cheltuieli cu construcție/reabilitare/modernizare clădiri destinate activităților sociale, comunitare, culturale, de agrement si sport</w:t>
            </w:r>
          </w:p>
          <w:p>
            <w:pPr>
              <w:numPr>
                <w:ilvl w:val="0"/>
                <w:numId w:val="32"/>
              </w:numPr>
              <w:spacing w:after="0" w:line="240" w:lineRule="auto"/>
              <w:jc w:val="both"/>
              <w:rPr>
                <w:rFonts w:ascii="Trebuchet MS" w:hAnsi="Trebuchet MS"/>
                <w:szCs w:val="20"/>
              </w:rPr>
            </w:pPr>
            <w:r>
              <w:rPr>
                <w:rFonts w:ascii="Trebuchet MS" w:hAnsi="Trebuchet MS"/>
                <w:szCs w:val="20"/>
              </w:rPr>
              <w:t>Cheltuieli cu construcția/reabilitarea/modernizarea  de utilităților publice</w:t>
            </w:r>
          </w:p>
          <w:p>
            <w:pPr>
              <w:numPr>
                <w:ilvl w:val="0"/>
                <w:numId w:val="32"/>
              </w:numPr>
              <w:spacing w:after="0" w:line="240" w:lineRule="auto"/>
              <w:jc w:val="both"/>
              <w:rPr>
                <w:rFonts w:ascii="Trebuchet MS" w:hAnsi="Trebuchet MS"/>
                <w:szCs w:val="20"/>
              </w:rPr>
            </w:pPr>
            <w:r>
              <w:rPr>
                <w:rFonts w:ascii="Trebuchet MS" w:hAnsi="Trebuchet MS"/>
                <w:szCs w:val="20"/>
              </w:rPr>
              <w:t>Cheltuielie cu constructia/reabilitare/modernizare locuințe sociale, unități de învățământ preuniversitar</w:t>
            </w:r>
          </w:p>
          <w:p>
            <w:pPr>
              <w:numPr>
                <w:ilvl w:val="0"/>
                <w:numId w:val="32"/>
              </w:numPr>
              <w:spacing w:after="0" w:line="240" w:lineRule="auto"/>
              <w:jc w:val="both"/>
              <w:rPr>
                <w:rFonts w:ascii="Trebuchet MS" w:hAnsi="Trebuchet MS"/>
                <w:szCs w:val="20"/>
              </w:rPr>
            </w:pPr>
            <w:r>
              <w:rPr>
                <w:rFonts w:ascii="Trebuchet MS" w:hAnsi="Trebuchet MS"/>
                <w:szCs w:val="20"/>
              </w:rPr>
              <w:t>Construcția/reabilitarea/modernizarea străzilor  de importanta secundara din cadrul zonelor sau a cladirilor aferente supuse intervențiilor, inclusiv înlocuirea și/sau racordarea la utilități publice</w:t>
            </w:r>
          </w:p>
          <w:p>
            <w:pPr>
              <w:numPr>
                <w:ilvl w:val="0"/>
                <w:numId w:val="32"/>
              </w:numPr>
              <w:spacing w:after="0" w:line="240" w:lineRule="auto"/>
              <w:jc w:val="both"/>
              <w:rPr>
                <w:rFonts w:ascii="Trebuchet MS" w:hAnsi="Trebuchet MS"/>
                <w:szCs w:val="20"/>
              </w:rPr>
            </w:pPr>
            <w:r>
              <w:rPr>
                <w:rFonts w:ascii="Trebuchet MS" w:hAnsi="Trebuchet MS"/>
                <w:szCs w:val="20"/>
              </w:rPr>
              <w:t>Cheltuieli cu realizarea de trotuare, piste pentru biciclisti, parcări pentru biciclete, alei pietonale, cai de acces aferente străzilor străzilor urbane de importanta secundara din cadrul zonelor sau a cladirilor aferente supuse intervențiilor</w:t>
            </w:r>
          </w:p>
          <w:p>
            <w:pPr>
              <w:numPr>
                <w:ilvl w:val="0"/>
                <w:numId w:val="32"/>
              </w:numPr>
              <w:spacing w:after="0" w:line="240" w:lineRule="auto"/>
              <w:jc w:val="both"/>
              <w:rPr>
                <w:rFonts w:ascii="Trebuchet MS" w:hAnsi="Trebuchet MS"/>
                <w:szCs w:val="20"/>
              </w:rPr>
            </w:pPr>
            <w:r>
              <w:rPr>
                <w:rFonts w:ascii="Trebuchet MS" w:hAnsi="Trebuchet MS"/>
                <w:szCs w:val="20"/>
              </w:rPr>
              <w:lastRenderedPageBreak/>
              <w:t>Cheltuieli cu crearea/ modernizarea facilităţilor de acces pentru persoane cu dizabilităţi</w:t>
            </w:r>
          </w:p>
          <w:p>
            <w:pPr>
              <w:numPr>
                <w:ilvl w:val="0"/>
                <w:numId w:val="32"/>
              </w:numPr>
              <w:spacing w:after="0" w:line="240" w:lineRule="auto"/>
              <w:jc w:val="both"/>
              <w:rPr>
                <w:rFonts w:ascii="Trebuchet MS" w:hAnsi="Trebuchet MS"/>
                <w:szCs w:val="20"/>
              </w:rPr>
            </w:pPr>
            <w:r>
              <w:rPr>
                <w:rFonts w:ascii="Trebuchet MS" w:hAnsi="Trebuchet MS"/>
                <w:szCs w:val="20"/>
              </w:rPr>
              <w:t>Cheltuieli pentru măsuri/ facilităţi de îmbunătățire a calității mediului înconjurător.</w:t>
            </w:r>
          </w:p>
          <w:p>
            <w:pPr>
              <w:spacing w:line="240" w:lineRule="auto"/>
              <w:ind w:left="900"/>
              <w:jc w:val="both"/>
              <w:rPr>
                <w:rFonts w:ascii="Trebuchet MS" w:hAnsi="Trebuchet MS"/>
                <w:szCs w:val="20"/>
              </w:rPr>
            </w:pP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jc w:val="both"/>
              <w:rPr>
                <w:rFonts w:ascii="Trebuchet MS" w:hAnsi="Trebuchet MS"/>
                <w:color w:val="000000"/>
                <w:szCs w:val="20"/>
                <w:lang w:eastAsia="ro-RO"/>
              </w:rPr>
            </w:pPr>
            <w:r>
              <w:rPr>
                <w:rFonts w:ascii="Trebuchet MS" w:hAnsi="Trebuchet MS"/>
                <w:color w:val="000000"/>
                <w:szCs w:val="20"/>
                <w:lang w:eastAsia="ro-RO"/>
              </w:rPr>
              <w:t>54 - cheltuieli cu dotările (utilaje,echipamente cu și fără montaj, dotări)</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numPr>
                <w:ilvl w:val="0"/>
                <w:numId w:val="33"/>
              </w:numPr>
              <w:spacing w:before="120" w:after="0" w:line="240" w:lineRule="auto"/>
              <w:rPr>
                <w:rFonts w:ascii="Trebuchet MS" w:hAnsi="Trebuchet MS"/>
                <w:szCs w:val="20"/>
              </w:rPr>
            </w:pPr>
            <w:r>
              <w:rPr>
                <w:rFonts w:ascii="Trebuchet MS" w:hAnsi="Trebuchet MS"/>
                <w:szCs w:val="20"/>
              </w:rPr>
              <w:t>Dotare mobilier urban (bănci, coșuri de gunoi, indicatoare etc.)</w:t>
            </w:r>
          </w:p>
          <w:p>
            <w:pPr>
              <w:numPr>
                <w:ilvl w:val="0"/>
                <w:numId w:val="33"/>
              </w:numPr>
              <w:spacing w:after="0" w:line="240" w:lineRule="auto"/>
              <w:rPr>
                <w:rFonts w:ascii="Trebuchet MS" w:hAnsi="Trebuchet MS"/>
                <w:szCs w:val="20"/>
              </w:rPr>
            </w:pPr>
            <w:r>
              <w:rPr>
                <w:rFonts w:ascii="Trebuchet MS" w:hAnsi="Trebuchet MS"/>
                <w:szCs w:val="20"/>
              </w:rPr>
              <w:t>Dotarea clădirior –obiect al proiectului cu mobilier si echipamente specifice, dotari P.S.I, dotări privind protecţia muncii  etc.</w:t>
            </w:r>
          </w:p>
          <w:p>
            <w:pPr>
              <w:numPr>
                <w:ilvl w:val="0"/>
                <w:numId w:val="33"/>
              </w:numPr>
              <w:spacing w:after="0" w:line="240" w:lineRule="auto"/>
              <w:rPr>
                <w:rFonts w:ascii="Trebuchet MS" w:hAnsi="Trebuchet MS"/>
                <w:szCs w:val="20"/>
              </w:rPr>
            </w:pPr>
            <w:r>
              <w:rPr>
                <w:rFonts w:ascii="Trebuchet MS" w:hAnsi="Trebuchet MS"/>
                <w:szCs w:val="20"/>
              </w:rPr>
              <w:t>Dotări spații publice urbane;</w:t>
            </w:r>
          </w:p>
          <w:p>
            <w:pPr>
              <w:numPr>
                <w:ilvl w:val="0"/>
                <w:numId w:val="33"/>
              </w:numPr>
              <w:spacing w:after="0" w:line="240" w:lineRule="auto"/>
              <w:rPr>
                <w:rFonts w:ascii="Trebuchet MS" w:hAnsi="Trebuchet MS"/>
                <w:szCs w:val="20"/>
              </w:rPr>
            </w:pPr>
            <w:r>
              <w:rPr>
                <w:rFonts w:ascii="Trebuchet MS" w:hAnsi="Trebuchet MS"/>
                <w:szCs w:val="20"/>
              </w:rPr>
              <w:t>Cheltuieli pentru achiziţionarea şi instalarea de sisteme şi echipamente pentru persoane cu dizabilităţi</w:t>
            </w:r>
          </w:p>
          <w:p>
            <w:pPr>
              <w:numPr>
                <w:ilvl w:val="0"/>
                <w:numId w:val="33"/>
              </w:numPr>
              <w:spacing w:after="0" w:line="240" w:lineRule="auto"/>
              <w:rPr>
                <w:rFonts w:ascii="Trebuchet MS" w:hAnsi="Trebuchet MS"/>
                <w:szCs w:val="20"/>
              </w:rPr>
            </w:pPr>
            <w:r>
              <w:rPr>
                <w:rFonts w:ascii="Trebuchet MS" w:hAnsi="Trebuchet MS"/>
                <w:szCs w:val="20"/>
              </w:rPr>
              <w:t>Dotarea cu echipamente, echipamente IT adaptate nevoilor beneficiarilor de servicii oferite in clădirea- obiect al proiectului, mai ales echipamente si mobilier pentru persoane cu dizabilităţi.</w:t>
            </w:r>
          </w:p>
          <w:p>
            <w:pPr>
              <w:numPr>
                <w:ilvl w:val="0"/>
                <w:numId w:val="33"/>
              </w:numPr>
              <w:spacing w:after="0" w:line="240" w:lineRule="auto"/>
              <w:rPr>
                <w:rFonts w:ascii="Trebuchet MS" w:hAnsi="Trebuchet MS"/>
                <w:szCs w:val="20"/>
              </w:rPr>
            </w:pPr>
            <w:r>
              <w:rPr>
                <w:rFonts w:ascii="Trebuchet MS" w:hAnsi="Trebuchet MS"/>
                <w:szCs w:val="20"/>
              </w:rPr>
              <w:t>Dotarea si instalarea de sisteme de securitate si siguranta (sisteme de supraveghere video, sisteme de alarma, etc)</w:t>
            </w:r>
          </w:p>
          <w:p>
            <w:pPr>
              <w:numPr>
                <w:ilvl w:val="0"/>
                <w:numId w:val="33"/>
              </w:numPr>
              <w:spacing w:after="0" w:line="240" w:lineRule="auto"/>
              <w:rPr>
                <w:rFonts w:ascii="Trebuchet MS" w:hAnsi="Trebuchet MS"/>
                <w:szCs w:val="20"/>
              </w:rPr>
            </w:pPr>
            <w:r>
              <w:rPr>
                <w:rFonts w:ascii="Trebuchet MS" w:hAnsi="Trebuchet MS"/>
                <w:szCs w:val="20"/>
              </w:rPr>
              <w:t>Dotare cu cabine de paza a cladirilor- obiect al proiectului-  si zonelor amenajate ca parculete, terenuri de sport, parcuri, etc</w:t>
            </w:r>
          </w:p>
          <w:p>
            <w:pPr>
              <w:spacing w:after="0" w:line="240" w:lineRule="auto"/>
              <w:jc w:val="both"/>
              <w:rPr>
                <w:rFonts w:ascii="Trebuchet MS" w:hAnsi="Trebuchet MS"/>
                <w:szCs w:val="20"/>
              </w:rPr>
            </w:pPr>
            <w:r>
              <w:rPr>
                <w:rFonts w:ascii="Trebuchet MS" w:hAnsi="Trebuchet MS"/>
                <w:szCs w:val="20"/>
              </w:rPr>
              <w:t>Se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pPr>
              <w:spacing w:after="0" w:line="240" w:lineRule="auto"/>
              <w:jc w:val="both"/>
              <w:rPr>
                <w:rFonts w:ascii="Trebuchet MS" w:hAnsi="Trebuchet MS"/>
                <w:szCs w:val="20"/>
              </w:rPr>
            </w:pPr>
            <w:r>
              <w:rPr>
                <w:rFonts w:ascii="Trebuchet MS" w:hAnsi="Trebuchet MS"/>
                <w:szCs w:val="20"/>
              </w:rPr>
              <w:t>Se includ cheltuielile pentru achiziţionarea utilajelor şi echipamentelor care nu necesită montaj, precum şi a echipamentelor şi a echipamentelor de transport tehnologic.</w:t>
            </w:r>
          </w:p>
          <w:p>
            <w:pPr>
              <w:spacing w:after="0" w:line="240" w:lineRule="auto"/>
              <w:jc w:val="both"/>
              <w:rPr>
                <w:rFonts w:ascii="Trebuchet MS" w:hAnsi="Trebuchet MS"/>
                <w:szCs w:val="20"/>
              </w:rPr>
            </w:pPr>
            <w:r>
              <w:rPr>
                <w:rFonts w:ascii="Trebuchet MS" w:hAnsi="Trebuchet MS"/>
                <w:szCs w:val="20"/>
              </w:rPr>
              <w:t xml:space="preserve">Se cuprind cheltuielile pentru procurarea de bunuri care, conform legii, intră în categoria mijloace fixe si/sau obiecte de inventar, sunt necesare implementarii proiectului şi respectă </w:t>
            </w:r>
            <w:r>
              <w:rPr>
                <w:rFonts w:ascii="Trebuchet MS" w:hAnsi="Trebuchet MS"/>
                <w:szCs w:val="20"/>
              </w:rPr>
              <w:lastRenderedPageBreak/>
              <w:t>prevederile contractului de finanţare.</w:t>
            </w:r>
          </w:p>
          <w:p>
            <w:pPr>
              <w:spacing w:after="0" w:line="240" w:lineRule="auto"/>
              <w:jc w:val="both"/>
              <w:rPr>
                <w:rFonts w:ascii="Trebuchet MS" w:hAnsi="Trebuchet MS"/>
                <w:szCs w:val="20"/>
              </w:rPr>
            </w:pPr>
            <w:r>
              <w:rPr>
                <w:rFonts w:ascii="Trebuchet MS" w:hAnsi="Trebuchet MS"/>
                <w:szCs w:val="20"/>
              </w:rPr>
              <w:t>Pentru Întreprinderile de economie socială de inserţie sunt eligibile cheltuielile efectuate numai pentru achiziţionarea de echipamente tehnologice, utilaje, instalații de lucru, mobilier, echipamente informatice, birotică, de natura mijloacelor fixe, respectiv care se regăsesc în Subgrupa 2.1. „Echipamente tehnologice (masini, utilaje și instalatii de lucru)”, Subgrupa 2.2. „Aparate și instalatii de masurare, control și reglare”, Clasa 2.3.6. ”Utilaje şi instalaţii de transportat şi ridicat”, sau Grupa 3 „Mobilier, aparatura birotica, sisteme de protectie a valorilor umane și materiale și alte active corporale” din Hotărârea Guvernului nr. 2139/ 2004 pentru aprobarea Catalogului privind clasificarea și duratele normale de funcţionare a mijloacelor fixe, cu modificările şi completările ulterioare și care se încadrează în limita valorică aferentă mijloacelor fixe, stabilită prin reglementările legale în vigoare la data depunerii cererii de finanțare.</w:t>
            </w: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jc w:val="both"/>
              <w:rPr>
                <w:rFonts w:ascii="Trebuchet MS" w:hAnsi="Trebuchet MS"/>
                <w:color w:val="000000"/>
                <w:szCs w:val="20"/>
                <w:lang w:eastAsia="ro-RO"/>
              </w:rPr>
            </w:pPr>
            <w:r>
              <w:rPr>
                <w:rFonts w:ascii="Trebuchet MS" w:hAnsi="Trebuchet MS"/>
                <w:color w:val="000000"/>
                <w:szCs w:val="20"/>
                <w:lang w:eastAsia="ro-RO"/>
              </w:rPr>
              <w:t>55 - cheltuieli cu active necorporale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rPr>
                <w:rFonts w:ascii="Trebuchet MS" w:hAnsi="Trebuchet MS"/>
                <w:szCs w:val="20"/>
              </w:rPr>
            </w:pPr>
            <w:r>
              <w:rPr>
                <w:rFonts w:ascii="Trebuchet MS" w:hAnsi="Trebuchet MS"/>
                <w:szCs w:val="20"/>
              </w:rPr>
              <w:t>Se cuprind cheltuielile cu achiziţionarea activelor necorporale aferente echipamentelor achizitionate prin proiect.</w:t>
            </w:r>
          </w:p>
        </w:tc>
      </w:tr>
      <w:tr>
        <w:trPr>
          <w:trHeight w:val="201"/>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r>
              <w:rPr>
                <w:rFonts w:ascii="Trebuchet MS" w:hAnsi="Trebuchet MS"/>
                <w:szCs w:val="20"/>
              </w:rPr>
              <w:t xml:space="preserve">16 - cheltuieli cu organizarea de șantier </w:t>
            </w:r>
          </w:p>
          <w:p>
            <w:pPr>
              <w:spacing w:after="0" w:line="240" w:lineRule="auto"/>
              <w:jc w:val="both"/>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101"/>
            </w:tblGrid>
            <w:tr>
              <w:trPr>
                <w:trHeight w:val="222"/>
              </w:trPr>
              <w:tc>
                <w:tcPr>
                  <w:tcW w:w="0" w:type="auto"/>
                  <w:tcMar>
                    <w:top w:w="0" w:type="dxa"/>
                    <w:left w:w="108" w:type="dxa"/>
                    <w:bottom w:w="0" w:type="dxa"/>
                    <w:right w:w="108" w:type="dxa"/>
                  </w:tcMar>
                  <w:hideMark/>
                </w:tcPr>
                <w:p>
                  <w:pPr>
                    <w:autoSpaceDE w:val="0"/>
                    <w:autoSpaceDN w:val="0"/>
                    <w:spacing w:after="0" w:line="240" w:lineRule="auto"/>
                    <w:jc w:val="both"/>
                    <w:rPr>
                      <w:rFonts w:ascii="Trebuchet MS" w:hAnsi="Trebuchet MS"/>
                      <w:color w:val="000000"/>
                      <w:szCs w:val="20"/>
                      <w:lang w:eastAsia="ro-RO"/>
                    </w:rPr>
                  </w:pPr>
                  <w:r>
                    <w:rPr>
                      <w:rFonts w:ascii="Trebuchet MS" w:hAnsi="Trebuchet MS"/>
                      <w:color w:val="000000"/>
                      <w:szCs w:val="20"/>
                      <w:lang w:eastAsia="ro-RO"/>
                    </w:rPr>
                    <w:t xml:space="preserve">57 - cheltuieli pentru lucrări de construcții și instalații aferente organizării de șantier </w:t>
                  </w:r>
                </w:p>
              </w:tc>
            </w:tr>
            <w:tr>
              <w:trPr>
                <w:trHeight w:val="99"/>
              </w:trPr>
              <w:tc>
                <w:tcPr>
                  <w:tcW w:w="0" w:type="auto"/>
                  <w:tcMar>
                    <w:top w:w="0" w:type="dxa"/>
                    <w:left w:w="108" w:type="dxa"/>
                    <w:bottom w:w="0" w:type="dxa"/>
                    <w:right w:w="108" w:type="dxa"/>
                  </w:tcMar>
                </w:tcPr>
                <w:p>
                  <w:pPr>
                    <w:autoSpaceDE w:val="0"/>
                    <w:autoSpaceDN w:val="0"/>
                    <w:spacing w:after="0" w:line="240" w:lineRule="auto"/>
                    <w:jc w:val="both"/>
                    <w:rPr>
                      <w:rFonts w:ascii="Trebuchet MS" w:hAnsi="Trebuchet MS"/>
                      <w:color w:val="000000"/>
                      <w:szCs w:val="20"/>
                      <w:lang w:eastAsia="ro-RO"/>
                    </w:rPr>
                  </w:pPr>
                </w:p>
              </w:tc>
            </w:tr>
          </w:tbl>
          <w:p>
            <w:pPr>
              <w:spacing w:after="0" w:line="240" w:lineRule="auto"/>
              <w:rPr>
                <w:rFonts w:ascii="Trebuchet MS" w:hAnsi="Trebuchet MS"/>
                <w:szCs w:val="20"/>
                <w:lang w:eastAsia="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rPr>
            </w:pPr>
            <w:r>
              <w:rPr>
                <w:rFonts w:ascii="Trebuchet MS" w:hAnsi="Trebuchet MS"/>
                <w:szCs w:val="20"/>
              </w:rPr>
              <w:t xml:space="preserve">Cheltuieli pentru lucrări de construcţii şi instalaţii aferente organizării de şantier: </w:t>
            </w:r>
          </w:p>
          <w:p>
            <w:pPr>
              <w:numPr>
                <w:ilvl w:val="0"/>
                <w:numId w:val="34"/>
              </w:numPr>
              <w:spacing w:after="0" w:line="240" w:lineRule="auto"/>
              <w:jc w:val="both"/>
              <w:rPr>
                <w:rFonts w:ascii="Trebuchet MS" w:hAnsi="Trebuchet MS"/>
                <w:szCs w:val="20"/>
              </w:rPr>
            </w:pPr>
            <w:r>
              <w:rPr>
                <w:rFonts w:ascii="Trebuchet MS" w:hAnsi="Trebuchet MS"/>
                <w:szCs w:val="20"/>
              </w:rPr>
              <w:t xml:space="preserve">Cheltuieli aferente realizării unor construcții provizorii sau amenajări în construcții existente, precum și cheltuieli de desființare a organizării de şantier: </w:t>
            </w:r>
          </w:p>
          <w:p>
            <w:pPr>
              <w:numPr>
                <w:ilvl w:val="0"/>
                <w:numId w:val="34"/>
              </w:numPr>
              <w:spacing w:after="0" w:line="240" w:lineRule="auto"/>
              <w:jc w:val="both"/>
              <w:rPr>
                <w:rFonts w:ascii="Trebuchet MS" w:hAnsi="Trebuchet MS"/>
                <w:szCs w:val="20"/>
              </w:rPr>
            </w:pPr>
            <w:r>
              <w:rPr>
                <w:rFonts w:ascii="Trebuchet MS" w:hAnsi="Trebuchet MS"/>
                <w:szCs w:val="20"/>
              </w:rPr>
              <w:t>vestiare/barăci/spații de lucru pentru personalul din șantier,</w:t>
            </w:r>
          </w:p>
          <w:p>
            <w:pPr>
              <w:numPr>
                <w:ilvl w:val="0"/>
                <w:numId w:val="34"/>
              </w:numPr>
              <w:spacing w:after="0" w:line="240" w:lineRule="auto"/>
              <w:jc w:val="both"/>
              <w:rPr>
                <w:rFonts w:ascii="Trebuchet MS" w:hAnsi="Trebuchet MS"/>
                <w:szCs w:val="20"/>
              </w:rPr>
            </w:pPr>
            <w:r>
              <w:rPr>
                <w:rFonts w:ascii="Trebuchet MS" w:hAnsi="Trebuchet MS"/>
                <w:szCs w:val="20"/>
              </w:rPr>
              <w:t>platforme tehnologice/dezafectarea platformelor tehnologice,</w:t>
            </w:r>
          </w:p>
          <w:p>
            <w:pPr>
              <w:numPr>
                <w:ilvl w:val="0"/>
                <w:numId w:val="34"/>
              </w:numPr>
              <w:spacing w:after="0" w:line="240" w:lineRule="auto"/>
              <w:jc w:val="both"/>
              <w:rPr>
                <w:rFonts w:ascii="Trebuchet MS" w:hAnsi="Trebuchet MS"/>
                <w:szCs w:val="20"/>
              </w:rPr>
            </w:pPr>
            <w:r>
              <w:rPr>
                <w:rFonts w:ascii="Trebuchet MS" w:hAnsi="Trebuchet MS"/>
                <w:szCs w:val="20"/>
              </w:rPr>
              <w:t>grupuri sanitare,</w:t>
            </w:r>
          </w:p>
          <w:p>
            <w:pPr>
              <w:numPr>
                <w:ilvl w:val="0"/>
                <w:numId w:val="34"/>
              </w:numPr>
              <w:spacing w:after="0" w:line="240" w:lineRule="auto"/>
              <w:jc w:val="both"/>
              <w:rPr>
                <w:rFonts w:ascii="Trebuchet MS" w:hAnsi="Trebuchet MS"/>
                <w:szCs w:val="20"/>
              </w:rPr>
            </w:pPr>
            <w:r>
              <w:rPr>
                <w:rFonts w:ascii="Trebuchet MS" w:hAnsi="Trebuchet MS"/>
                <w:szCs w:val="20"/>
              </w:rPr>
              <w:t>rampe de spălare auto,</w:t>
            </w:r>
          </w:p>
          <w:p>
            <w:pPr>
              <w:numPr>
                <w:ilvl w:val="0"/>
                <w:numId w:val="34"/>
              </w:numPr>
              <w:spacing w:after="0" w:line="240" w:lineRule="auto"/>
              <w:jc w:val="both"/>
              <w:rPr>
                <w:rFonts w:ascii="Trebuchet MS" w:hAnsi="Trebuchet MS"/>
                <w:szCs w:val="20"/>
              </w:rPr>
            </w:pPr>
            <w:r>
              <w:rPr>
                <w:rFonts w:ascii="Trebuchet MS" w:hAnsi="Trebuchet MS"/>
                <w:szCs w:val="20"/>
              </w:rPr>
              <w:t>depozite pentru materiale,</w:t>
            </w:r>
          </w:p>
          <w:p>
            <w:pPr>
              <w:numPr>
                <w:ilvl w:val="0"/>
                <w:numId w:val="34"/>
              </w:numPr>
              <w:spacing w:after="0" w:line="240" w:lineRule="auto"/>
              <w:jc w:val="both"/>
              <w:rPr>
                <w:rFonts w:ascii="Trebuchet MS" w:hAnsi="Trebuchet MS"/>
                <w:szCs w:val="20"/>
              </w:rPr>
            </w:pPr>
            <w:r>
              <w:rPr>
                <w:rFonts w:ascii="Trebuchet MS" w:hAnsi="Trebuchet MS"/>
                <w:szCs w:val="20"/>
              </w:rPr>
              <w:t>fundații pentru macarale,</w:t>
            </w:r>
          </w:p>
          <w:p>
            <w:pPr>
              <w:numPr>
                <w:ilvl w:val="0"/>
                <w:numId w:val="34"/>
              </w:numPr>
              <w:spacing w:after="0" w:line="240" w:lineRule="auto"/>
              <w:jc w:val="both"/>
              <w:rPr>
                <w:rFonts w:ascii="Trebuchet MS" w:hAnsi="Trebuchet MS"/>
                <w:szCs w:val="20"/>
              </w:rPr>
            </w:pPr>
            <w:r>
              <w:rPr>
                <w:rFonts w:ascii="Trebuchet MS" w:hAnsi="Trebuchet MS"/>
                <w:szCs w:val="20"/>
              </w:rPr>
              <w:t>reţele electrice de iluminat şi forţă,</w:t>
            </w:r>
          </w:p>
          <w:p>
            <w:pPr>
              <w:numPr>
                <w:ilvl w:val="0"/>
                <w:numId w:val="34"/>
              </w:numPr>
              <w:spacing w:after="0" w:line="240" w:lineRule="auto"/>
              <w:jc w:val="both"/>
              <w:rPr>
                <w:rFonts w:ascii="Trebuchet MS" w:hAnsi="Trebuchet MS"/>
                <w:szCs w:val="20"/>
              </w:rPr>
            </w:pPr>
            <w:r>
              <w:rPr>
                <w:rFonts w:ascii="Trebuchet MS" w:hAnsi="Trebuchet MS"/>
                <w:szCs w:val="20"/>
              </w:rPr>
              <w:t>căi de acces,</w:t>
            </w:r>
          </w:p>
          <w:p>
            <w:pPr>
              <w:numPr>
                <w:ilvl w:val="0"/>
                <w:numId w:val="34"/>
              </w:numPr>
              <w:spacing w:after="0" w:line="240" w:lineRule="auto"/>
              <w:jc w:val="both"/>
              <w:rPr>
                <w:rFonts w:ascii="Trebuchet MS" w:hAnsi="Trebuchet MS"/>
                <w:szCs w:val="20"/>
              </w:rPr>
            </w:pPr>
            <w:r>
              <w:rPr>
                <w:rFonts w:ascii="Trebuchet MS" w:hAnsi="Trebuchet MS"/>
                <w:szCs w:val="20"/>
              </w:rPr>
              <w:lastRenderedPageBreak/>
              <w:t xml:space="preserve">branșamente/racorduri la utilităţi, </w:t>
            </w:r>
          </w:p>
          <w:p>
            <w:pPr>
              <w:numPr>
                <w:ilvl w:val="0"/>
                <w:numId w:val="34"/>
              </w:numPr>
              <w:spacing w:after="0" w:line="240" w:lineRule="auto"/>
              <w:jc w:val="both"/>
              <w:rPr>
                <w:rFonts w:ascii="Trebuchet MS" w:hAnsi="Trebuchet MS"/>
                <w:szCs w:val="20"/>
              </w:rPr>
            </w:pPr>
            <w:r>
              <w:rPr>
                <w:rFonts w:ascii="Trebuchet MS" w:hAnsi="Trebuchet MS"/>
                <w:szCs w:val="20"/>
              </w:rPr>
              <w:t>împrejmuiri,</w:t>
            </w:r>
          </w:p>
          <w:p>
            <w:pPr>
              <w:numPr>
                <w:ilvl w:val="0"/>
                <w:numId w:val="34"/>
              </w:numPr>
              <w:spacing w:after="0" w:line="240" w:lineRule="auto"/>
              <w:jc w:val="both"/>
              <w:rPr>
                <w:rFonts w:ascii="Trebuchet MS" w:hAnsi="Trebuchet MS"/>
                <w:szCs w:val="20"/>
              </w:rPr>
            </w:pPr>
            <w:r>
              <w:rPr>
                <w:rFonts w:ascii="Trebuchet MS" w:hAnsi="Trebuchet MS"/>
                <w:szCs w:val="20"/>
              </w:rPr>
              <w:t xml:space="preserve">panouri de prezentare, </w:t>
            </w:r>
          </w:p>
          <w:p>
            <w:pPr>
              <w:numPr>
                <w:ilvl w:val="0"/>
                <w:numId w:val="34"/>
              </w:numPr>
              <w:spacing w:after="0" w:line="240" w:lineRule="auto"/>
              <w:jc w:val="both"/>
              <w:rPr>
                <w:rFonts w:ascii="Trebuchet MS" w:hAnsi="Trebuchet MS"/>
                <w:szCs w:val="20"/>
              </w:rPr>
            </w:pPr>
            <w:r>
              <w:rPr>
                <w:rFonts w:ascii="Trebuchet MS" w:hAnsi="Trebuchet MS"/>
                <w:szCs w:val="20"/>
              </w:rPr>
              <w:t xml:space="preserve">pichete de incendiu, </w:t>
            </w:r>
          </w:p>
          <w:p>
            <w:pPr>
              <w:numPr>
                <w:ilvl w:val="0"/>
                <w:numId w:val="34"/>
              </w:numPr>
              <w:spacing w:after="0" w:line="240" w:lineRule="auto"/>
              <w:jc w:val="both"/>
              <w:rPr>
                <w:rFonts w:ascii="Trebuchet MS" w:hAnsi="Trebuchet MS"/>
                <w:szCs w:val="20"/>
              </w:rPr>
            </w:pPr>
            <w:r>
              <w:rPr>
                <w:rFonts w:ascii="Trebuchet MS" w:hAnsi="Trebuchet MS"/>
                <w:szCs w:val="20"/>
              </w:rPr>
              <w:t xml:space="preserve">cheltuieli pentru desfiinţarea organizării de şantier, inclusiv cheltuielile necesare readucerii terenurilor ocupate la starea lor inițială, la terminarea execuției lucrărilor de investiții, cu excepția cheltuielilor aferente pct. 1.2. “Amenajări pentru protecţia mediului şi aducerea la starea iniţială”,cheltuielile aferente construcțiilor provizorii pentru protecția civilă. </w:t>
            </w:r>
          </w:p>
          <w:p>
            <w:pPr>
              <w:spacing w:after="0" w:line="240" w:lineRule="auto"/>
              <w:jc w:val="both"/>
              <w:rPr>
                <w:rFonts w:ascii="Trebuchet MS" w:hAnsi="Trebuchet MS"/>
                <w:szCs w:val="20"/>
              </w:rPr>
            </w:pPr>
          </w:p>
        </w:tc>
      </w:tr>
      <w:tr>
        <w:trPr>
          <w:trHeight w:val="1214"/>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jc w:val="both"/>
              <w:rPr>
                <w:rFonts w:ascii="Trebuchet MS" w:hAnsi="Trebuchet MS"/>
                <w:szCs w:val="20"/>
                <w:lang w:val="fr-FR"/>
              </w:rPr>
            </w:pPr>
            <w:r>
              <w:rPr>
                <w:rFonts w:ascii="Trebuchet MS" w:hAnsi="Trebuchet MS"/>
                <w:color w:val="000000"/>
                <w:szCs w:val="20"/>
                <w:lang w:val="fr-FR" w:eastAsia="ro-RO"/>
              </w:rPr>
              <w:t>58 - cheltuieli conexe organizării de șantier</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rPr>
            </w:pPr>
            <w:r>
              <w:rPr>
                <w:rFonts w:ascii="Trebuchet MS" w:hAnsi="Trebuchet MS"/>
                <w:szCs w:val="20"/>
              </w:rPr>
              <w:t xml:space="preserve">Se cuprind cheltuielile pentru: </w:t>
            </w:r>
          </w:p>
          <w:p>
            <w:pPr>
              <w:numPr>
                <w:ilvl w:val="0"/>
                <w:numId w:val="34"/>
              </w:numPr>
              <w:spacing w:after="0" w:line="240" w:lineRule="auto"/>
              <w:jc w:val="both"/>
              <w:rPr>
                <w:rFonts w:ascii="Trebuchet MS" w:hAnsi="Trebuchet MS"/>
                <w:szCs w:val="20"/>
              </w:rPr>
            </w:pPr>
            <w:r>
              <w:rPr>
                <w:rFonts w:ascii="Trebuchet MS" w:hAnsi="Trebuchet MS"/>
                <w:szCs w:val="20"/>
              </w:rPr>
              <w:t>obţinerea autorizaţiei de construire/ desfiinţare aferente lucrărilor de organizare de şantier;</w:t>
            </w:r>
          </w:p>
          <w:p>
            <w:pPr>
              <w:numPr>
                <w:ilvl w:val="0"/>
                <w:numId w:val="34"/>
              </w:numPr>
              <w:spacing w:after="0" w:line="240" w:lineRule="auto"/>
              <w:jc w:val="both"/>
              <w:rPr>
                <w:rFonts w:ascii="Trebuchet MS" w:hAnsi="Trebuchet MS"/>
                <w:szCs w:val="20"/>
              </w:rPr>
            </w:pPr>
            <w:r>
              <w:rPr>
                <w:rFonts w:ascii="Trebuchet MS" w:hAnsi="Trebuchet MS"/>
                <w:szCs w:val="20"/>
              </w:rPr>
              <w:t xml:space="preserve">taxe de amplasament; </w:t>
            </w:r>
          </w:p>
          <w:p>
            <w:pPr>
              <w:numPr>
                <w:ilvl w:val="0"/>
                <w:numId w:val="34"/>
              </w:numPr>
              <w:spacing w:after="0" w:line="240" w:lineRule="auto"/>
              <w:jc w:val="both"/>
              <w:rPr>
                <w:rFonts w:ascii="Trebuchet MS" w:hAnsi="Trebuchet MS"/>
                <w:szCs w:val="20"/>
              </w:rPr>
            </w:pPr>
            <w:r>
              <w:rPr>
                <w:rFonts w:ascii="Trebuchet MS" w:hAnsi="Trebuchet MS"/>
                <w:szCs w:val="20"/>
              </w:rPr>
              <w:t xml:space="preserve">închirieri semne de circulaţie, </w:t>
            </w:r>
          </w:p>
          <w:p>
            <w:pPr>
              <w:numPr>
                <w:ilvl w:val="0"/>
                <w:numId w:val="34"/>
              </w:numPr>
              <w:spacing w:after="0" w:line="240" w:lineRule="auto"/>
              <w:jc w:val="both"/>
              <w:rPr>
                <w:rFonts w:ascii="Trebuchet MS" w:hAnsi="Trebuchet MS"/>
                <w:szCs w:val="20"/>
              </w:rPr>
            </w:pPr>
            <w:r>
              <w:rPr>
                <w:rFonts w:ascii="Trebuchet MS" w:hAnsi="Trebuchet MS"/>
                <w:szCs w:val="20"/>
              </w:rPr>
              <w:t xml:space="preserve">întreruperea temporară a rețelelor de transport sau distribuție de apă, canalizare, agent termic, energie electrică, gaze naturale, </w:t>
            </w:r>
          </w:p>
          <w:p>
            <w:pPr>
              <w:numPr>
                <w:ilvl w:val="0"/>
                <w:numId w:val="34"/>
              </w:numPr>
              <w:spacing w:after="0" w:line="240" w:lineRule="auto"/>
              <w:jc w:val="both"/>
              <w:rPr>
                <w:rFonts w:ascii="Trebuchet MS" w:hAnsi="Trebuchet MS"/>
                <w:szCs w:val="20"/>
              </w:rPr>
            </w:pPr>
            <w:r>
              <w:rPr>
                <w:rFonts w:ascii="Trebuchet MS" w:hAnsi="Trebuchet MS"/>
                <w:szCs w:val="20"/>
              </w:rPr>
              <w:t>contractele de asistenţă cu poliţia rutieră,</w:t>
            </w:r>
          </w:p>
          <w:p>
            <w:pPr>
              <w:numPr>
                <w:ilvl w:val="0"/>
                <w:numId w:val="34"/>
              </w:numPr>
              <w:spacing w:after="0" w:line="240" w:lineRule="auto"/>
              <w:jc w:val="both"/>
              <w:rPr>
                <w:rFonts w:ascii="Trebuchet MS" w:hAnsi="Trebuchet MS"/>
                <w:szCs w:val="20"/>
              </w:rPr>
            </w:pPr>
            <w:r>
              <w:rPr>
                <w:rFonts w:ascii="Trebuchet MS" w:hAnsi="Trebuchet MS"/>
                <w:szCs w:val="20"/>
              </w:rPr>
              <w:t>contractele temporare cu furnizorul de energie electrică, cu furnizorul de apă și cu unităţile de salubrizare,</w:t>
            </w:r>
          </w:p>
          <w:p>
            <w:pPr>
              <w:numPr>
                <w:ilvl w:val="0"/>
                <w:numId w:val="34"/>
              </w:numPr>
              <w:spacing w:after="0" w:line="240" w:lineRule="auto"/>
              <w:jc w:val="both"/>
              <w:rPr>
                <w:rFonts w:ascii="Trebuchet MS" w:hAnsi="Trebuchet MS"/>
                <w:szCs w:val="20"/>
              </w:rPr>
            </w:pPr>
            <w:r>
              <w:rPr>
                <w:rFonts w:ascii="Trebuchet MS" w:hAnsi="Trebuchet MS"/>
                <w:szCs w:val="20"/>
              </w:rPr>
              <w:t>taxă depozit ecologic,</w:t>
            </w:r>
          </w:p>
          <w:p>
            <w:pPr>
              <w:numPr>
                <w:ilvl w:val="0"/>
                <w:numId w:val="34"/>
              </w:numPr>
              <w:spacing w:after="0" w:line="240" w:lineRule="auto"/>
              <w:jc w:val="both"/>
              <w:rPr>
                <w:rFonts w:ascii="Trebuchet MS" w:hAnsi="Trebuchet MS"/>
                <w:szCs w:val="20"/>
              </w:rPr>
            </w:pPr>
            <w:r>
              <w:rPr>
                <w:rFonts w:ascii="Trebuchet MS" w:hAnsi="Trebuchet MS"/>
                <w:szCs w:val="20"/>
              </w:rPr>
              <w:t>taxe locale,</w:t>
            </w:r>
          </w:p>
          <w:p>
            <w:pPr>
              <w:numPr>
                <w:ilvl w:val="0"/>
                <w:numId w:val="34"/>
              </w:numPr>
              <w:spacing w:after="0" w:line="240" w:lineRule="auto"/>
              <w:jc w:val="both"/>
              <w:rPr>
                <w:rFonts w:ascii="Trebuchet MS" w:hAnsi="Trebuchet MS"/>
                <w:szCs w:val="20"/>
              </w:rPr>
            </w:pPr>
            <w:r>
              <w:rPr>
                <w:rFonts w:ascii="Trebuchet MS" w:hAnsi="Trebuchet MS"/>
                <w:szCs w:val="20"/>
              </w:rPr>
              <w:t>chirii pentru ocuparea temporară a domeniului public,</w:t>
            </w:r>
          </w:p>
          <w:p>
            <w:pPr>
              <w:numPr>
                <w:ilvl w:val="0"/>
                <w:numId w:val="34"/>
              </w:numPr>
              <w:spacing w:after="0" w:line="240" w:lineRule="auto"/>
              <w:jc w:val="both"/>
              <w:rPr>
                <w:rFonts w:ascii="Trebuchet MS" w:hAnsi="Trebuchet MS"/>
                <w:szCs w:val="20"/>
              </w:rPr>
            </w:pPr>
            <w:r>
              <w:rPr>
                <w:rFonts w:ascii="Trebuchet MS" w:hAnsi="Trebuchet MS"/>
                <w:szCs w:val="20"/>
              </w:rPr>
              <w:t>închirieri de vestiare/baraci/containere/ grupuri sanitare,</w:t>
            </w:r>
          </w:p>
          <w:p>
            <w:pPr>
              <w:numPr>
                <w:ilvl w:val="0"/>
                <w:numId w:val="34"/>
              </w:numPr>
              <w:spacing w:after="0" w:line="240" w:lineRule="auto"/>
              <w:jc w:val="both"/>
              <w:rPr>
                <w:rFonts w:ascii="Trebuchet MS" w:hAnsi="Trebuchet MS"/>
                <w:szCs w:val="20"/>
              </w:rPr>
            </w:pPr>
            <w:r>
              <w:rPr>
                <w:rFonts w:ascii="Trebuchet MS" w:hAnsi="Trebuchet MS"/>
                <w:szCs w:val="20"/>
              </w:rPr>
              <w:t xml:space="preserve">cheltuielile necesare readucerii terenurilor ocupate la starea lor inițială, la terminarea execuției lucrărilor de investiții/intervenții, operațiune care constituie </w:t>
            </w:r>
            <w:r>
              <w:rPr>
                <w:rFonts w:ascii="Trebuchet MS" w:hAnsi="Trebuchet MS"/>
                <w:szCs w:val="20"/>
              </w:rPr>
              <w:lastRenderedPageBreak/>
              <w:t>obligația executanților, cu excepția cheltuielilor aferente pct. 1.2. “Amenajări pentru protecţia mediului şi aducerea la starea iniţială”.</w:t>
            </w:r>
          </w:p>
          <w:p>
            <w:pPr>
              <w:numPr>
                <w:ilvl w:val="0"/>
                <w:numId w:val="34"/>
              </w:numPr>
              <w:spacing w:after="0" w:line="240" w:lineRule="auto"/>
              <w:jc w:val="both"/>
              <w:rPr>
                <w:rFonts w:ascii="Trebuchet MS" w:hAnsi="Trebuchet MS"/>
                <w:szCs w:val="20"/>
              </w:rPr>
            </w:pPr>
            <w:r>
              <w:rPr>
                <w:rFonts w:ascii="Trebuchet MS" w:hAnsi="Trebuchet MS"/>
                <w:szCs w:val="20"/>
              </w:rPr>
              <w:t>costul energiei electrice și al apei consumate în incinta organizării de şantier pe durata de execuţie a lucrărilor.</w:t>
            </w:r>
          </w:p>
          <w:p>
            <w:pPr>
              <w:numPr>
                <w:ilvl w:val="0"/>
                <w:numId w:val="34"/>
              </w:numPr>
              <w:spacing w:after="0" w:line="240" w:lineRule="auto"/>
              <w:jc w:val="both"/>
              <w:rPr>
                <w:rFonts w:ascii="Trebuchet MS" w:hAnsi="Trebuchet MS"/>
                <w:szCs w:val="20"/>
              </w:rPr>
            </w:pPr>
            <w:r>
              <w:rPr>
                <w:rFonts w:ascii="Trebuchet MS" w:hAnsi="Trebuchet MS"/>
                <w:szCs w:val="20"/>
              </w:rPr>
              <w:t>paza șantierului</w:t>
            </w:r>
          </w:p>
          <w:p>
            <w:pPr>
              <w:spacing w:after="0" w:line="240" w:lineRule="auto"/>
              <w:jc w:val="both"/>
              <w:rPr>
                <w:rFonts w:ascii="Trebuchet MS" w:hAnsi="Trebuchet MS"/>
                <w:szCs w:val="20"/>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szCs w:val="20"/>
              </w:rPr>
            </w:pPr>
            <w:r>
              <w:rPr>
                <w:rFonts w:ascii="Trebuchet MS" w:hAnsi="Trebuchet MS"/>
                <w:szCs w:val="20"/>
              </w:rPr>
              <w:lastRenderedPageBreak/>
              <w:t>17 - cheltuieli pentru comisioane, cote, taxe</w:t>
            </w:r>
            <w:r>
              <w:rPr>
                <w:rFonts w:ascii="Trebuchet MS" w:hAnsi="Trebuchet MS"/>
                <w:noProof/>
                <w:szCs w:val="20"/>
                <w:lang w:val="ro-RO" w:eastAsia="ro-RO"/>
              </w:rPr>
              <w:drawing>
                <wp:inline distT="0" distB="0" distL="0" distR="0">
                  <wp:extent cx="8890" cy="8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szCs w:val="20"/>
              </w:rPr>
            </w:pPr>
            <w:r>
              <w:rPr>
                <w:rFonts w:ascii="Trebuchet MS" w:hAnsi="Trebuchet MS"/>
                <w:szCs w:val="20"/>
              </w:rPr>
              <w:t>59 - cheltuieli pentru comisioane, cote, taxe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rPr>
            </w:pPr>
            <w:r>
              <w:rPr>
                <w:rFonts w:ascii="Trebuchet MS" w:hAnsi="Trebuchet MS"/>
                <w:szCs w:val="20"/>
              </w:rPr>
              <w:t>Se cuprind: cota aferentă Inspectoratului de Stat în Construcţii pentru controlul calității lucrărilor de construcție, cota pentru controlul statului în amenajarea teritoriului, urbanism şi pentru autorizarea lucrărilor de construcţii, cota aferentă Casei Sociale a Constructorilor, taxe pentru acorduri, avize conforme şi autorizaţia de construire/desfiinţare.</w:t>
            </w:r>
          </w:p>
          <w:p>
            <w:pPr>
              <w:spacing w:after="0" w:line="240" w:lineRule="auto"/>
              <w:jc w:val="both"/>
              <w:rPr>
                <w:rFonts w:ascii="Trebuchet MS" w:hAnsi="Trebuchet MS"/>
                <w:szCs w:val="20"/>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r>
              <w:rPr>
                <w:rFonts w:ascii="Trebuchet MS" w:hAnsi="Trebuchet MS"/>
                <w:szCs w:val="20"/>
              </w:rPr>
              <w:t xml:space="preserve">18 - cheltuieli diverse și neprevăzute </w:t>
            </w:r>
          </w:p>
          <w:p>
            <w:pPr>
              <w:autoSpaceDE w:val="0"/>
              <w:autoSpaceDN w:val="0"/>
              <w:spacing w:after="0" w:line="240" w:lineRule="auto"/>
              <w:jc w:val="both"/>
              <w:rPr>
                <w:rFonts w:ascii="Trebuchet MS" w:hAnsi="Trebuchet MS"/>
                <w:b/>
                <w:bCs/>
                <w:szCs w:val="20"/>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rPr>
            </w:pPr>
            <w:r>
              <w:rPr>
                <w:rFonts w:ascii="Trebuchet MS" w:hAnsi="Trebuchet MS"/>
                <w:szCs w:val="20"/>
              </w:rPr>
              <w:t xml:space="preserve">60 - cheltuieli diverse și neprevăzute </w:t>
            </w:r>
          </w:p>
          <w:p>
            <w:pPr>
              <w:spacing w:after="0" w:line="240" w:lineRule="auto"/>
              <w:jc w:val="both"/>
              <w:rPr>
                <w:rFonts w:ascii="Trebuchet MS" w:hAnsi="Trebuchet MS"/>
                <w:b/>
                <w:bCs/>
                <w:szCs w:val="20"/>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rPr>
            </w:pPr>
            <w:r>
              <w:rPr>
                <w:rFonts w:ascii="Trebuchet MS" w:hAnsi="Trebuchet MS"/>
                <w:szCs w:val="20"/>
              </w:rPr>
              <w:t>Cheltuielile diverse și neprevăzute vor fi folosite în conformitate cu legislația în domeniul achizițiilor publice ce face referire la modificările contractuale apărute în timpul execuției.</w:t>
            </w:r>
          </w:p>
          <w:p>
            <w:pPr>
              <w:spacing w:line="240" w:lineRule="auto"/>
              <w:jc w:val="both"/>
              <w:rPr>
                <w:rFonts w:ascii="Trebuchet MS" w:hAnsi="Trebuchet MS"/>
                <w:szCs w:val="20"/>
              </w:rPr>
            </w:pPr>
            <w:r>
              <w:rPr>
                <w:rFonts w:ascii="Trebuchet MS" w:hAnsi="Trebuchet MS"/>
                <w:szCs w:val="20"/>
              </w:rPr>
              <w:t>Se consideră eligibile dacă sunt detaliate corespunzător prin documente justificative şi doar în limita a 10% din valoarea eligibilă a cheltuielilor eligibile cuprinse în categoriile 12, 13, 15.</w:t>
            </w:r>
          </w:p>
          <w:p>
            <w:pPr>
              <w:spacing w:after="0" w:line="240" w:lineRule="auto"/>
              <w:jc w:val="both"/>
              <w:rPr>
                <w:rFonts w:ascii="Trebuchet MS" w:hAnsi="Trebuchet MS"/>
                <w:szCs w:val="20"/>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ind w:left="57"/>
              <w:jc w:val="both"/>
              <w:rPr>
                <w:rFonts w:ascii="Trebuchet MS" w:hAnsi="Trebuchet MS"/>
                <w:szCs w:val="20"/>
                <w:lang w:val="fr-FR"/>
              </w:rPr>
            </w:pPr>
            <w:r>
              <w:rPr>
                <w:rFonts w:ascii="Trebuchet MS" w:hAnsi="Trebuchet MS"/>
                <w:szCs w:val="20"/>
                <w:lang w:val="fr-FR"/>
              </w:rPr>
              <w:t xml:space="preserve">7 - cheltuieli cu auditul achiziționat de beneficiar pentru proiect </w:t>
            </w:r>
          </w:p>
          <w:p>
            <w:pPr>
              <w:autoSpaceDE w:val="0"/>
              <w:autoSpaceDN w:val="0"/>
              <w:spacing w:after="0" w:line="240" w:lineRule="auto"/>
              <w:jc w:val="both"/>
              <w:rPr>
                <w:rFonts w:ascii="Trebuchet MS" w:hAnsi="Trebuchet MS"/>
                <w:szCs w:val="20"/>
                <w:lang w:val="fr-FR"/>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ind w:left="57"/>
              <w:jc w:val="both"/>
              <w:rPr>
                <w:rFonts w:ascii="Trebuchet MS" w:hAnsi="Trebuchet MS"/>
                <w:szCs w:val="20"/>
                <w:lang w:val="fr-FR"/>
              </w:rPr>
            </w:pPr>
            <w:r>
              <w:rPr>
                <w:rFonts w:ascii="Trebuchet MS" w:hAnsi="Trebuchet MS"/>
                <w:szCs w:val="20"/>
                <w:lang w:val="fr-FR"/>
              </w:rPr>
              <w:t xml:space="preserve">15 - cheltuieli cu auditul achiziționat de beneficiar pentru proiect </w:t>
            </w:r>
          </w:p>
          <w:p>
            <w:pPr>
              <w:autoSpaceDE w:val="0"/>
              <w:autoSpaceDN w:val="0"/>
              <w:spacing w:after="0" w:line="240" w:lineRule="auto"/>
              <w:jc w:val="both"/>
              <w:rPr>
                <w:rFonts w:ascii="Trebuchet MS" w:hAnsi="Trebuchet MS"/>
                <w:szCs w:val="20"/>
                <w:lang w:val="fr-FR"/>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numPr>
                <w:ilvl w:val="0"/>
                <w:numId w:val="35"/>
              </w:numPr>
              <w:spacing w:before="120" w:after="0" w:line="240" w:lineRule="auto"/>
              <w:jc w:val="both"/>
              <w:rPr>
                <w:rFonts w:ascii="Trebuchet MS" w:hAnsi="Trebuchet MS"/>
                <w:szCs w:val="20"/>
              </w:rPr>
            </w:pPr>
            <w:r>
              <w:rPr>
                <w:rFonts w:ascii="Trebuchet MS" w:hAnsi="Trebuchet MS"/>
                <w:szCs w:val="20"/>
              </w:rPr>
              <w:t>Cheltuielile de audit financiar extern în limita maximă a 5000 lei (inclusiv TVA) /raport de audit financiar trimestrial (aferent activităţilor ce pot fi auditate în trimestrul respectiv)</w:t>
            </w:r>
          </w:p>
          <w:p>
            <w:pPr>
              <w:spacing w:line="240" w:lineRule="auto"/>
              <w:jc w:val="both"/>
              <w:rPr>
                <w:rFonts w:ascii="Trebuchet MS" w:hAnsi="Trebuchet MS"/>
                <w:szCs w:val="20"/>
              </w:rPr>
            </w:pPr>
            <w:r>
              <w:rPr>
                <w:rFonts w:ascii="Trebuchet MS" w:hAnsi="Trebuchet MS"/>
                <w:szCs w:val="20"/>
              </w:rPr>
              <w:t>În cazul în care, beneficiarii optează pentru încheierea unor contracte de audit, rapoartele de audit confirma ca cheltuielile cuprinse in cererile de rambursare au fost verificate si sunt:</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 xml:space="preserve">sunt necesare pentru realizarea proiectului, </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lastRenderedPageBreak/>
              <w:t xml:space="preserve">sunt  prevăzute în contractul încheiat cu beneficiarul proiectului </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sunt în conformitate cu principiile unui management financiar sănătos, respectiv utilizarea eficientă a fondurilor, şi un raport optim cost/beneficiu (rezonabilitatea preturilor conform prevederilor OUG 66/2011);</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 xml:space="preserve">sunt efectuate şi plătite de beneficiar sau partenerii săi; </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cheltuielile au fost plătite pe parcursul perioadei de eligibile</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sunt înregistrate în contabilitatea beneficiarului/ partenerului având la bază documente justificative, să fie identificabile şi verificabile, să fie dovedite prin documente originale. Documentele originale trebuie să aibă înscris codul proiectului şi menţiunea «Proiect finanţat din POR». Beneficiarul va aplica menţiunea «Conform cu originalul» pe copiile documentelor suport/justificative ce însoţesc cererea de rambursare.</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 xml:space="preserve">Pentru operațiunile specifice proiectului este se utilizează conturi analitice distincte. La constituirea analiticului se va utiliza, pe lângă simbolurile obligatorii conform Normelor privind organizarea contabilitatii în functie de tipul beneficiarului , si codul SMIS al proiectului </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cheltuielile decontate sunt in conformitate cu propunerile tehnice si financiare ofertate (se verifica preturile unitare si cantitatile decontate)</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beneficiarii vor derula fondurile aferente pre-finanţării proiectelor prin conturi separate deschise special pentru proiect.</w:t>
            </w:r>
          </w:p>
          <w:p>
            <w:pPr>
              <w:numPr>
                <w:ilvl w:val="0"/>
                <w:numId w:val="36"/>
              </w:numPr>
              <w:spacing w:after="0" w:line="240" w:lineRule="auto"/>
              <w:contextualSpacing/>
              <w:jc w:val="both"/>
              <w:rPr>
                <w:rFonts w:ascii="Trebuchet MS" w:hAnsi="Trebuchet MS"/>
                <w:szCs w:val="20"/>
                <w:lang w:eastAsia="ro-RO"/>
              </w:rPr>
            </w:pPr>
            <w:r>
              <w:rPr>
                <w:rFonts w:ascii="Trebuchet MS" w:hAnsi="Trebuchet MS"/>
                <w:szCs w:val="20"/>
                <w:lang w:eastAsia="ro-RO"/>
              </w:rPr>
              <w:t>beneficiarii care efectuează plăţi în valută în cadrul proiectului solicită la rambursare contravaloarea în lei a acestora la cursul Băncii Naţionale a României din data întocmirii documentelor de plată în valută.</w:t>
            </w:r>
          </w:p>
          <w:p>
            <w:pPr>
              <w:spacing w:after="0" w:line="240" w:lineRule="auto"/>
              <w:jc w:val="both"/>
              <w:rPr>
                <w:rFonts w:ascii="Trebuchet MS" w:hAnsi="Trebuchet MS"/>
                <w:szCs w:val="20"/>
              </w:rPr>
            </w:pPr>
            <w:r>
              <w:rPr>
                <w:rFonts w:ascii="Trebuchet MS" w:hAnsi="Trebuchet MS"/>
                <w:szCs w:val="20"/>
              </w:rPr>
              <w:t xml:space="preserve">Atunci când același beneficiar desfășoară mai </w:t>
            </w:r>
            <w:r>
              <w:rPr>
                <w:rFonts w:ascii="Trebuchet MS" w:hAnsi="Trebuchet MS"/>
                <w:szCs w:val="20"/>
              </w:rPr>
              <w:lastRenderedPageBreak/>
              <w:t>multe proiecte în același timp sau un proiect primește finanțare sub diferite forme de sprijin sau din diferite fonduri, auditorii verifica potențiala dublă finanțare a unei cheltuieli.</w:t>
            </w: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ind w:left="57"/>
              <w:jc w:val="both"/>
              <w:rPr>
                <w:rFonts w:ascii="Trebuchet MS" w:hAnsi="Trebuchet MS"/>
                <w:szCs w:val="20"/>
                <w:lang w:val="fr-FR"/>
              </w:rPr>
            </w:pPr>
            <w:r>
              <w:rPr>
                <w:rFonts w:ascii="Trebuchet MS" w:hAnsi="Trebuchet MS"/>
                <w:szCs w:val="20"/>
                <w:lang w:val="fr-FR"/>
              </w:rPr>
              <w:lastRenderedPageBreak/>
              <w:t xml:space="preserve">8 - cheltuieli de informare, comunicare și publicitate </w:t>
            </w:r>
          </w:p>
          <w:p>
            <w:pPr>
              <w:autoSpaceDE w:val="0"/>
              <w:autoSpaceDN w:val="0"/>
              <w:spacing w:after="0" w:line="240" w:lineRule="auto"/>
              <w:ind w:left="57"/>
              <w:jc w:val="both"/>
              <w:rPr>
                <w:rFonts w:ascii="Trebuchet MS" w:hAnsi="Trebuchet MS"/>
                <w:szCs w:val="20"/>
                <w:lang w:val="fr-FR"/>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ind w:left="57"/>
              <w:jc w:val="both"/>
              <w:rPr>
                <w:rFonts w:ascii="Trebuchet MS" w:hAnsi="Trebuchet MS"/>
                <w:szCs w:val="20"/>
                <w:lang w:val="fr-FR"/>
              </w:rPr>
            </w:pPr>
            <w:r>
              <w:rPr>
                <w:rFonts w:ascii="Trebuchet MS" w:hAnsi="Trebuchet MS"/>
                <w:szCs w:val="20"/>
                <w:lang w:val="fr-FR"/>
              </w:rPr>
              <w:t xml:space="preserve">17 - cheltuieli de informare și publicitate pentru proiect, care rezultă din obligațiile beneficiarului </w:t>
            </w:r>
          </w:p>
          <w:p>
            <w:pPr>
              <w:autoSpaceDE w:val="0"/>
              <w:autoSpaceDN w:val="0"/>
              <w:spacing w:after="0" w:line="240" w:lineRule="auto"/>
              <w:ind w:left="57"/>
              <w:jc w:val="both"/>
              <w:rPr>
                <w:rFonts w:ascii="Trebuchet MS" w:hAnsi="Trebuchet MS"/>
                <w:szCs w:val="20"/>
                <w:lang w:val="fr-FR"/>
              </w:rPr>
            </w:pPr>
            <w:r>
              <w:rPr>
                <w:rFonts w:ascii="Trebuchet MS" w:hAnsi="Trebuchet MS"/>
                <w:szCs w:val="20"/>
                <w:lang w:val="fr-FR"/>
              </w:rPr>
              <w:t>18 - cheltuieli de promovare a obiectivului de investiţie/produsului/ serviciului finanţat</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rPr>
            </w:pPr>
            <w:r>
              <w:rPr>
                <w:rFonts w:ascii="Trebuchet MS" w:hAnsi="Trebuchet MS"/>
                <w:szCs w:val="20"/>
              </w:rPr>
              <w:t>Cheltuieli cu activitățile obligatorii de informare și publicitate aferente proiectului sunt eligibile în conformitate cu prevederile contractului de finanţare, în limita a 10.000 lei (inclusiv TVA).</w:t>
            </w:r>
          </w:p>
          <w:p>
            <w:pPr>
              <w:spacing w:line="240" w:lineRule="auto"/>
              <w:jc w:val="both"/>
              <w:rPr>
                <w:rFonts w:ascii="Trebuchet MS" w:hAnsi="Trebuchet MS"/>
                <w:szCs w:val="20"/>
              </w:rPr>
            </w:pPr>
            <w:r>
              <w:rPr>
                <w:rFonts w:ascii="Trebuchet MS" w:hAnsi="Trebuchet MS"/>
                <w:szCs w:val="20"/>
              </w:rPr>
              <w:t>Cheltuieli de promovare a obiectivului de investiţie/produsului/ serviciului finanţat.</w:t>
            </w:r>
          </w:p>
        </w:tc>
      </w:tr>
    </w:tbl>
    <w:p>
      <w:pPr>
        <w:spacing w:after="160" w:line="240" w:lineRule="auto"/>
        <w:ind w:left="567" w:hanging="567"/>
        <w:contextualSpacing/>
        <w:jc w:val="both"/>
        <w:rPr>
          <w:rFonts w:ascii="Trebuchet MS" w:hAnsi="Trebuchet MS"/>
          <w:sz w:val="20"/>
          <w:szCs w:val="20"/>
          <w:lang w:val="ro-RO"/>
        </w:rPr>
      </w:pP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Limitele procentuale prevazute pentru anumite categorii de cheltuieli se aplică la valoarea cheltuielilor incluse în bugetul proiectului la data semnării contractului de finanțare.</w:t>
      </w:r>
    </w:p>
    <w:p>
      <w:pPr>
        <w:spacing w:before="120" w:after="120" w:line="240" w:lineRule="auto"/>
        <w:jc w:val="both"/>
        <w:rPr>
          <w:rFonts w:ascii="Trebuchet MS" w:eastAsia="Times New Roman" w:hAnsi="Trebuchet MS"/>
          <w:b/>
          <w:i/>
          <w:lang w:val="ro-RO"/>
        </w:rPr>
      </w:pPr>
      <w:r>
        <w:rPr>
          <w:rFonts w:ascii="Trebuchet MS" w:eastAsia="Times New Roman" w:hAnsi="Trebuchet MS"/>
          <w:b/>
          <w:i/>
          <w:lang w:val="ro-RO"/>
        </w:rPr>
        <w:t>Dotările trebuie să fie din categoria obiectelor de inventar si/sau a mijloacelor fixe cu respectarea legislației in vigoare.</w:t>
      </w: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 xml:space="preserve">Taxa pe valoarea adăugată nerecuperabilă aferentă cheltuielilor eligibile este eligibilă. </w:t>
      </w: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Cheltuielile neeligibile:</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cheltuielile prevăzute la art. 13 din HG. Nr. 399/2015 privind regulile de eligibilitate a cheltuielilor efectuate în cadrul operatiunilorfinantate prin FEDR, FSE, FC 2014-2020</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cheltuielile privind costurile operaționale, de functionare, de testare  si intretinere</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cheltuielile privind costuri administrative (costuri de management care nu pot fi asociate producției ori vânzării - e.g. salariile personalului general de administrație; chiriile și reparații ale imobilizărilor de interes general în administrație; energie, combustibil și alte consumuri similare; cheltuieli administrativ-gospodărești; alte cheltuieli generale de administrație)</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cheltuieli financiare, respectiv prime de asigurare, taxe, comisioane, rata și dobânzi aferente creditelor</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contributia în natură pentru întreprinderile de economie socială de inserție</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amortizarea</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cheltuielile cu leasingul prevăzute la art. 9 din HG nr. 399/2015</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 xml:space="preserve">cheltuielile cu achiziţionarea autovehiculelor si a mijloacelor de transport, aşa cum sunt ele clasificate în Subgrupa 2.3. „Mijloace de transport” din HG 2139/2004, cu excepţia clasei 2.3.6 ”Utilaje şiinstalaţii de transportat şi ridicat” </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cheltuielile privind achiziţia de dotări / echipamente second-hand</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amenzi, penalităţişi cheltuieli de judecată, dobânzi</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lastRenderedPageBreak/>
        <w:t>cheltuieli cu teste si probe tehnologice</w:t>
      </w:r>
    </w:p>
    <w:p>
      <w:pPr>
        <w:numPr>
          <w:ilvl w:val="0"/>
          <w:numId w:val="28"/>
        </w:numPr>
        <w:spacing w:after="0" w:line="240" w:lineRule="auto"/>
        <w:jc w:val="both"/>
        <w:rPr>
          <w:rFonts w:ascii="Trebuchet MS" w:eastAsia="Times New Roman" w:hAnsi="Trebuchet MS"/>
          <w:lang w:val="ro-RO"/>
        </w:rPr>
      </w:pPr>
      <w:r>
        <w:rPr>
          <w:rFonts w:ascii="Trebuchet MS" w:eastAsia="Times New Roman" w:hAnsi="Trebuchet MS"/>
          <w:lang w:val="ro-RO"/>
        </w:rPr>
        <w:t>cheltuielile efectuate peste plafoanele maxime de cheltuieli specificate în ghidul specific.</w:t>
      </w:r>
    </w:p>
    <w:p>
      <w:pPr>
        <w:spacing w:after="0" w:line="240" w:lineRule="auto"/>
        <w:ind w:left="360"/>
        <w:jc w:val="both"/>
        <w:rPr>
          <w:rFonts w:ascii="Trebuchet MS" w:eastAsia="Times New Roman" w:hAnsi="Trebuchet MS"/>
          <w:lang w:val="ro-RO"/>
        </w:rPr>
      </w:pPr>
    </w:p>
    <w:p>
      <w:pPr>
        <w:spacing w:after="0" w:line="240" w:lineRule="auto"/>
        <w:jc w:val="both"/>
        <w:rPr>
          <w:rFonts w:ascii="Trebuchet MS" w:eastAsia="Times New Roman" w:hAnsi="Trebuchet MS"/>
          <w:lang w:val="ro-RO"/>
        </w:rPr>
      </w:pPr>
      <w:r>
        <w:rPr>
          <w:rFonts w:ascii="Trebuchet MS" w:eastAsia="Times New Roman" w:hAnsi="Trebuchet MS"/>
          <w:lang w:val="ro-RO"/>
        </w:rPr>
        <w:t>NOTĂ: AMPOR nu verifică realizarea activităților aferente cheltuielilor neeligibile, acestea fiind în responsabilitatea exclusivă a solicitantului care se va asigura de respectarea legislației în vigoare pentru realizarea lor.</w:t>
      </w:r>
    </w:p>
    <w:p>
      <w:pPr>
        <w:spacing w:after="0" w:line="240" w:lineRule="auto"/>
        <w:jc w:val="both"/>
        <w:rPr>
          <w:rFonts w:ascii="Trebuchet MS" w:eastAsia="Times New Roman" w:hAnsi="Trebuchet MS"/>
          <w:lang w:val="ro-RO"/>
        </w:rPr>
      </w:pPr>
    </w:p>
    <w:p>
      <w:pPr>
        <w:pStyle w:val="Heading3"/>
        <w:spacing w:before="0" w:line="240" w:lineRule="auto"/>
        <w:jc w:val="both"/>
        <w:rPr>
          <w:rFonts w:ascii="Trebuchet MS" w:hAnsi="Trebuchet MS"/>
          <w:bCs w:val="0"/>
          <w:i/>
          <w:noProof/>
          <w:color w:val="auto"/>
        </w:rPr>
      </w:pPr>
      <w:bookmarkStart w:id="40" w:name="_Toc41298499"/>
      <w:r>
        <w:rPr>
          <w:rFonts w:ascii="Trebuchet MS" w:hAnsi="Trebuchet MS"/>
          <w:bCs w:val="0"/>
          <w:i/>
          <w:noProof/>
          <w:color w:val="auto"/>
        </w:rPr>
        <w:t>Secțiunea 3.3.4 Eligibilitatea fișei de proiect</w:t>
      </w:r>
      <w:bookmarkEnd w:id="40"/>
    </w:p>
    <w:p>
      <w:pPr>
        <w:spacing w:after="0" w:line="240" w:lineRule="auto"/>
        <w:rPr>
          <w:rFonts w:ascii="Trebuchet MS" w:hAnsi="Trebuchet MS"/>
          <w:lang w:val="ro-RO"/>
        </w:rPr>
      </w:pPr>
    </w:p>
    <w:p>
      <w:pPr>
        <w:spacing w:line="240" w:lineRule="auto"/>
        <w:jc w:val="both"/>
        <w:rPr>
          <w:rFonts w:ascii="Trebuchet MS" w:hAnsi="Trebuchet MS"/>
          <w:b/>
          <w:lang w:val="ro-RO"/>
        </w:rPr>
      </w:pPr>
      <w:r>
        <w:rPr>
          <w:rFonts w:ascii="Trebuchet MS" w:hAnsi="Trebuchet MS"/>
          <w:b/>
          <w:lang w:val="ro-RO"/>
        </w:rPr>
        <w:t>1. 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w:t>
      </w:r>
    </w:p>
    <w:p>
      <w:pPr>
        <w:spacing w:line="240" w:lineRule="auto"/>
        <w:jc w:val="both"/>
        <w:rPr>
          <w:rFonts w:ascii="Trebuchet MS" w:hAnsi="Trebuchet MS"/>
          <w:b/>
          <w:lang w:val="ro-RO"/>
        </w:rPr>
      </w:pPr>
      <w:r>
        <w:rPr>
          <w:rFonts w:ascii="Trebuchet MS" w:hAnsi="Trebuchet MS"/>
          <w:lang w:val="ro-RO"/>
        </w:rPr>
        <w:t xml:space="preserve">Fișele de proiecte vor fi selectate de GAL in conformitate cu </w:t>
      </w:r>
      <w:r>
        <w:rPr>
          <w:rFonts w:ascii="Trebuchet MS" w:hAnsi="Trebuchet MS"/>
          <w:i/>
          <w:lang w:val="ro-RO"/>
        </w:rPr>
        <w:t>Matricea de corespondență privind complementaritatea intervențiilor subsumate listei indicative de intervenții pentru care se intenționează solicitarea finanțării din POCU și din POR</w:t>
      </w:r>
      <w:r>
        <w:rPr>
          <w:rFonts w:ascii="Trebuchet MS" w:hAnsi="Trebuchet MS"/>
          <w:iCs/>
          <w:lang w:val="ro-RO"/>
        </w:rPr>
        <w:t>, urmand a se întocmi inclusiv</w:t>
      </w:r>
      <w:r>
        <w:rPr>
          <w:rFonts w:ascii="Trebuchet MS" w:hAnsi="Trebuchet MS"/>
          <w:b/>
          <w:lang w:val="ro-RO"/>
        </w:rPr>
        <w:t xml:space="preserve"> lista de interventii complementare din POCU 2014-2020, conform SDL selectate pentru finanțare. </w:t>
      </w:r>
    </w:p>
    <w:p>
      <w:pPr>
        <w:spacing w:line="240" w:lineRule="auto"/>
        <w:jc w:val="both"/>
        <w:rPr>
          <w:rFonts w:ascii="Trebuchet MS" w:hAnsi="Trebuchet MS"/>
          <w:b/>
          <w:lang w:val="ro-RO"/>
        </w:rPr>
      </w:pPr>
      <w:r>
        <w:rPr>
          <w:rFonts w:ascii="Trebuchet MS" w:hAnsi="Trebuchet MS"/>
          <w:b/>
          <w:lang w:val="ro-RO"/>
        </w:rPr>
        <w:t xml:space="preserve">2. Încadrarea valorii proiectului în limitele minime și maxime </w:t>
      </w:r>
    </w:p>
    <w:p>
      <w:pPr>
        <w:spacing w:line="240" w:lineRule="auto"/>
        <w:jc w:val="both"/>
        <w:rPr>
          <w:rFonts w:ascii="Trebuchet MS" w:hAnsi="Trebuchet MS"/>
          <w:lang w:val="ro-RO"/>
        </w:rPr>
      </w:pPr>
      <w:r>
        <w:rPr>
          <w:rFonts w:ascii="Trebuchet MS" w:hAnsi="Trebuchet MS"/>
          <w:lang w:val="ro-RO"/>
        </w:rPr>
        <w:t xml:space="preserve">Se va verifica în conformitate cu prevederile </w:t>
      </w:r>
      <w:r>
        <w:rPr>
          <w:rFonts w:ascii="Trebuchet MS" w:hAnsi="Trebuchet MS"/>
          <w:b/>
          <w:bCs/>
          <w:i/>
          <w:noProof/>
        </w:rPr>
        <w:t>Sec</w:t>
      </w:r>
      <w:r>
        <w:rPr>
          <w:rFonts w:ascii="Trebuchet MS" w:hAnsi="Trebuchet MS" w:cs="Calibri"/>
          <w:b/>
          <w:lang w:val="ro-RO"/>
        </w:rPr>
        <w:t>ț</w:t>
      </w:r>
      <w:r>
        <w:rPr>
          <w:rFonts w:ascii="Trebuchet MS" w:hAnsi="Trebuchet MS"/>
          <w:b/>
          <w:bCs/>
          <w:i/>
          <w:noProof/>
        </w:rPr>
        <w:t>iunea</w:t>
      </w:r>
      <w:r>
        <w:rPr>
          <w:rFonts w:ascii="Trebuchet MS" w:hAnsi="Trebuchet MS"/>
          <w:lang w:val="ro-RO"/>
        </w:rPr>
        <w:t xml:space="preserve"> 3.2.7.</w:t>
      </w:r>
    </w:p>
    <w:p>
      <w:pPr>
        <w:spacing w:line="240" w:lineRule="auto"/>
        <w:jc w:val="both"/>
        <w:rPr>
          <w:rFonts w:ascii="Trebuchet MS" w:hAnsi="Trebuchet MS"/>
          <w:lang w:val="ro-RO"/>
        </w:rPr>
      </w:pPr>
      <w:r>
        <w:rPr>
          <w:rFonts w:ascii="Trebuchet MS" w:hAnsi="Trebuchet MS"/>
          <w:lang w:val="ro-RO"/>
        </w:rPr>
        <w:t xml:space="preserve">Cursul inforeuro este din luna </w:t>
      </w:r>
      <w:r>
        <w:rPr>
          <w:rFonts w:ascii="Trebuchet MS" w:hAnsi="Trebuchet MS"/>
          <w:lang w:val="fr-FR"/>
        </w:rPr>
        <w:t>octombrie 2019, respectiv 1 EUR = 4,7515 RON</w:t>
      </w:r>
      <w:r>
        <w:rPr>
          <w:rFonts w:ascii="Trebuchet MS" w:hAnsi="Trebuchet MS"/>
          <w:lang w:val="ro-RO"/>
        </w:rPr>
        <w:t>.</w:t>
      </w:r>
    </w:p>
    <w:p>
      <w:pPr>
        <w:spacing w:line="240" w:lineRule="auto"/>
        <w:jc w:val="both"/>
        <w:rPr>
          <w:rFonts w:ascii="Trebuchet MS" w:hAnsi="Trebuchet MS"/>
          <w:b/>
          <w:lang w:val="ro-RO"/>
        </w:rPr>
      </w:pPr>
      <w:r>
        <w:rPr>
          <w:rFonts w:ascii="Trebuchet MS" w:hAnsi="Trebuchet MS"/>
          <w:b/>
          <w:lang w:val="ro-RO"/>
        </w:rPr>
        <w:t>3. Perioada de implementare a activităților proiectului nu depășește 31 decembrie 2023</w:t>
      </w:r>
    </w:p>
    <w:p>
      <w:pPr>
        <w:spacing w:line="240" w:lineRule="auto"/>
        <w:jc w:val="both"/>
        <w:rPr>
          <w:rFonts w:ascii="Trebuchet MS" w:hAnsi="Trebuchet MS"/>
          <w:lang w:val="ro-RO"/>
        </w:rPr>
      </w:pPr>
      <w:r>
        <w:rPr>
          <w:rFonts w:ascii="Trebuchet MS" w:hAnsi="Trebuchet MS"/>
          <w:lang w:val="ro-RO"/>
        </w:rPr>
        <w:t xml:space="preserve">Perioada de implementare a activităților proiectului se referă atât la activitățile realizate înainte de depunerea fișei de proiect, cât și la activitățile ce urmează a fi realizate după momentul contractării proiectului și nu depășește data de 31 decembrie 2023. </w:t>
      </w:r>
    </w:p>
    <w:p>
      <w:pPr>
        <w:spacing w:line="240" w:lineRule="auto"/>
        <w:jc w:val="both"/>
        <w:rPr>
          <w:rFonts w:ascii="Trebuchet MS" w:hAnsi="Trebuchet MS"/>
          <w:lang w:val="ro-RO"/>
        </w:rPr>
      </w:pPr>
      <w:r>
        <w:rPr>
          <w:rFonts w:ascii="Trebuchet MS" w:hAnsi="Trebuchet MS"/>
          <w:lang w:val="ro-RO"/>
        </w:rPr>
        <w:t xml:space="preserve">Solicitantul trebuie să prevadă în mod realist perioada de implementare pentru fiecare activitate în parte, luând în considerare specificul fiecărei activități. </w:t>
      </w:r>
    </w:p>
    <w:p>
      <w:pPr>
        <w:spacing w:line="240" w:lineRule="auto"/>
        <w:jc w:val="both"/>
        <w:rPr>
          <w:rFonts w:ascii="Trebuchet MS" w:hAnsi="Trebuchet MS"/>
          <w:b/>
          <w:lang w:val="ro-RO"/>
        </w:rPr>
      </w:pPr>
      <w:r>
        <w:rPr>
          <w:rFonts w:ascii="Trebuchet MS" w:hAnsi="Trebuchet MS"/>
          <w:b/>
          <w:lang w:val="ro-RO"/>
        </w:rPr>
        <w:t>4. Respectarea principiilor privind dezvoltarea durabilă, egalitatea de şanse, de gen și nediscriminarea</w:t>
      </w:r>
    </w:p>
    <w:p>
      <w:pPr>
        <w:spacing w:line="240" w:lineRule="auto"/>
        <w:jc w:val="both"/>
        <w:rPr>
          <w:rFonts w:ascii="Trebuchet MS" w:hAnsi="Trebuchet MS"/>
          <w:lang w:val="ro-RO"/>
        </w:rPr>
      </w:pPr>
      <w:r>
        <w:rPr>
          <w:rFonts w:ascii="Trebuchet MS" w:hAnsi="Trebuchet MS"/>
          <w:lang w:val="ro-RO"/>
        </w:rPr>
        <w:t>În procesul de pregătire, contractare, implementare şi valabilitate a contractului de finanţare, solicitantul a respectat şi va respecta:</w:t>
      </w:r>
    </w:p>
    <w:p>
      <w:pPr>
        <w:spacing w:line="240" w:lineRule="auto"/>
        <w:jc w:val="both"/>
        <w:rPr>
          <w:rFonts w:ascii="Trebuchet MS" w:hAnsi="Trebuchet MS"/>
          <w:lang w:val="ro-RO"/>
        </w:rPr>
      </w:pPr>
      <w:r>
        <w:rPr>
          <w:rFonts w:ascii="Trebuchet MS" w:hAnsi="Trebuchet MS"/>
          <w:lang w:val="ro-RO"/>
        </w:rPr>
        <w:t>1.</w:t>
      </w:r>
      <w:r>
        <w:rPr>
          <w:rFonts w:ascii="Trebuchet MS" w:hAnsi="Trebuchet MS"/>
          <w:lang w:val="ro-RO"/>
        </w:rPr>
        <w:tab/>
        <w:t>legislaţia naţională şi comunitară aplicabilă în domeniul egalităţii de şanse, de gen, nediscriminare, accesibilitate</w:t>
      </w:r>
    </w:p>
    <w:p>
      <w:pPr>
        <w:spacing w:line="240" w:lineRule="auto"/>
        <w:jc w:val="both"/>
        <w:rPr>
          <w:rFonts w:ascii="Trebuchet MS" w:hAnsi="Trebuchet MS"/>
          <w:lang w:val="ro-RO"/>
        </w:rPr>
      </w:pPr>
      <w:r>
        <w:rPr>
          <w:rFonts w:ascii="Trebuchet MS" w:hAnsi="Trebuchet MS"/>
          <w:lang w:val="ro-RO"/>
        </w:rPr>
        <w:lastRenderedPageBreak/>
        <w:t>2.</w:t>
      </w:r>
      <w:r>
        <w:rPr>
          <w:rFonts w:ascii="Trebuchet MS" w:hAnsi="Trebuchet MS"/>
          <w:lang w:val="ro-RO"/>
        </w:rPr>
        <w:tab/>
        <w:t>legislaţia naţionalăşi comunitară aplicabilă în domeniul dezvoltării durabile, protecţiei mediului şieficienţei energetice</w:t>
      </w:r>
    </w:p>
    <w:p>
      <w:pPr>
        <w:spacing w:line="240" w:lineRule="auto"/>
        <w:jc w:val="both"/>
        <w:rPr>
          <w:rFonts w:ascii="Trebuchet MS" w:hAnsi="Trebuchet MS"/>
          <w:lang w:val="ro-RO"/>
        </w:rPr>
      </w:pPr>
      <w:r>
        <w:rPr>
          <w:rFonts w:ascii="Trebuchet MS" w:hAnsi="Trebuchet MS"/>
          <w:lang w:val="ro-RO"/>
        </w:rPr>
        <w:t xml:space="preserve">Pentru stabilirea abordării optime a respectării acestor principii este recomandată lucrarea &lt;Ghid privind integrarea temelor orizontale in cadrul proiectelor finantate din Fondurile ESI 2014-2020&gt;, disponibilă la adresa: </w:t>
      </w:r>
      <w:hyperlink r:id="rId12" w:history="1">
        <w:r>
          <w:rPr>
            <w:rStyle w:val="Hyperlink"/>
            <w:rFonts w:ascii="Trebuchet MS" w:hAnsi="Trebuchet MS"/>
            <w:lang w:val="ro-RO"/>
          </w:rPr>
          <w:t>http://www.fonduri-structurale.ro/detaliu.aspx?t=Stiri&amp;eID=17937</w:t>
        </w:r>
      </w:hyperlink>
      <w:r>
        <w:rPr>
          <w:rFonts w:ascii="Trebuchet MS" w:hAnsi="Trebuchet MS"/>
          <w:lang w:val="ro-RO"/>
        </w:rPr>
        <w:t>, unde la anexa 2 a primului volum şi la anexa 2 la al doilea volum este listată legislaţianaţională relevantă.</w:t>
      </w:r>
    </w:p>
    <w:p>
      <w:pPr>
        <w:spacing w:line="240" w:lineRule="auto"/>
        <w:jc w:val="both"/>
        <w:rPr>
          <w:rFonts w:ascii="Trebuchet MS" w:hAnsi="Trebuchet MS"/>
          <w:lang w:val="ro-RO"/>
        </w:rPr>
      </w:pPr>
      <w:r>
        <w:rPr>
          <w:rFonts w:ascii="Trebuchet MS" w:hAnsi="Trebuchet MS"/>
          <w:lang w:val="ro-RO"/>
        </w:rPr>
        <w:t>Solicitantul va descrie modul în care sunt respectate obligațiile minime prevăzute de legislația specifică aplicabilă, precum și acțiunile suplimentare (dacă este cazul). Acțiunile suplimentare descrise vor fi luate în considerare și la evaluarea proiectului.</w:t>
      </w:r>
    </w:p>
    <w:p>
      <w:pPr>
        <w:spacing w:line="240" w:lineRule="auto"/>
        <w:jc w:val="both"/>
        <w:rPr>
          <w:rFonts w:ascii="Trebuchet MS" w:hAnsi="Trebuchet MS"/>
          <w:lang w:val="ro-RO"/>
        </w:rPr>
      </w:pPr>
      <w:r>
        <w:rPr>
          <w:rFonts w:ascii="Trebuchet MS" w:hAnsi="Trebuchet MS"/>
          <w:lang w:val="ro-RO"/>
        </w:rPr>
        <w:t>De asemenea, recomandam consultarea “Ghidului adresat Statelor Membre pentru folosirea fondurilor structurale și de investiții în combaterea segregării teritoriale și școlare”,</w:t>
      </w:r>
      <w:hyperlink r:id="rId13" w:history="1">
        <w:r>
          <w:rPr>
            <w:rStyle w:val="Hyperlink"/>
            <w:rFonts w:ascii="Trebuchet MS" w:hAnsi="Trebuchet MS"/>
            <w:lang w:val="ro-RO"/>
          </w:rPr>
          <w:t>http://ec.europa.eu/regional_policy/sources/docgener/informat/2014/thematic_guidance_fiche_segregation_en.pdf</w:t>
        </w:r>
      </w:hyperlink>
      <w:r>
        <w:rPr>
          <w:rFonts w:ascii="Trebuchet MS" w:hAnsi="Trebuchet MS"/>
          <w:lang w:val="ro-RO"/>
        </w:rPr>
        <w:t>.</w:t>
      </w:r>
    </w:p>
    <w:p>
      <w:pPr>
        <w:spacing w:line="240" w:lineRule="auto"/>
        <w:jc w:val="both"/>
        <w:rPr>
          <w:rFonts w:ascii="Trebuchet MS" w:hAnsi="Trebuchet MS"/>
          <w:lang w:val="ro-RO"/>
        </w:rPr>
      </w:pPr>
      <w:r>
        <w:rPr>
          <w:rFonts w:ascii="Trebuchet MS" w:hAnsi="Trebuchet MS"/>
          <w:lang w:val="ro-RO"/>
        </w:rPr>
        <w:t>Dintre reglementările europene şinaţionale relevante incidente privitoare la eficienţa energetică a clădirilor, amintim:</w:t>
      </w:r>
    </w:p>
    <w:p>
      <w:pPr>
        <w:spacing w:line="240" w:lineRule="auto"/>
        <w:jc w:val="both"/>
        <w:rPr>
          <w:rFonts w:ascii="Trebuchet MS" w:hAnsi="Trebuchet MS"/>
          <w:lang w:val="ro-RO"/>
        </w:rPr>
      </w:pPr>
      <w:r>
        <w:rPr>
          <w:rFonts w:ascii="Trebuchet MS" w:hAnsi="Trebuchet MS"/>
          <w:lang w:val="ro-RO"/>
        </w:rPr>
        <w:t> Directiva 2010/31/UE a parlamentului european și a consiliului din 19 mai 2010 privind performanța energetică a clădirilor,</w:t>
      </w:r>
    </w:p>
    <w:p>
      <w:pPr>
        <w:spacing w:line="240" w:lineRule="auto"/>
        <w:jc w:val="both"/>
        <w:rPr>
          <w:rFonts w:ascii="Trebuchet MS" w:hAnsi="Trebuchet MS"/>
          <w:lang w:val="ro-RO"/>
        </w:rPr>
      </w:pPr>
      <w:r>
        <w:rPr>
          <w:rFonts w:ascii="Trebuchet MS" w:hAnsi="Trebuchet MS"/>
          <w:lang w:val="ro-RO"/>
        </w:rPr>
        <w:t xml:space="preserve"> Legea 372/2005 privind performanţa energetică a clădirilor şilegislaţia subsecventă inclusiv Ordinului ministrului transporturilor, constructiilor si turismului nr. 157/2007 pentru aprobarea reglementarii tehnice Metodologie de calcul al performantei energetice a cladirilor, cu modificările şi completările ulterioare, disponibile la adresa: http://www.mdrap.ro/constructii/metodologia-de-calcul-al-performantei-energetice-a-cladirilor, sau </w:t>
      </w:r>
      <w:hyperlink r:id="rId14" w:history="1">
        <w:r>
          <w:rPr>
            <w:rStyle w:val="Hyperlink"/>
            <w:rFonts w:ascii="Trebuchet MS" w:hAnsi="Trebuchet MS"/>
            <w:lang w:val="ro-RO"/>
          </w:rPr>
          <w:t>http://www.mdrl.ro/_documente/constructii/legislatie/legea_372</w:t>
        </w:r>
      </w:hyperlink>
    </w:p>
    <w:p>
      <w:pPr>
        <w:spacing w:line="240" w:lineRule="auto"/>
        <w:jc w:val="both"/>
        <w:rPr>
          <w:rFonts w:ascii="Trebuchet MS" w:hAnsi="Trebuchet MS"/>
          <w:lang w:val="ro-RO"/>
        </w:rPr>
      </w:pPr>
      <w:r>
        <w:rPr>
          <w:rFonts w:ascii="Trebuchet MS" w:hAnsi="Trebuchet MS"/>
          <w:lang w:val="ro-RO"/>
        </w:rPr>
        <w:t>- Reglementări tehnice privind performanța energetică a clădirilor la adresa: http://mdrap.ro/constructii/reglementari-tehnice, titlul XXVII.</w:t>
      </w:r>
    </w:p>
    <w:p>
      <w:pPr>
        <w:spacing w:line="240" w:lineRule="auto"/>
        <w:jc w:val="both"/>
        <w:rPr>
          <w:rFonts w:ascii="Trebuchet MS" w:hAnsi="Trebuchet MS"/>
          <w:lang w:val="ro-RO"/>
        </w:rPr>
      </w:pPr>
      <w:r>
        <w:rPr>
          <w:rFonts w:ascii="Trebuchet MS" w:hAnsi="Trebuchet MS"/>
          <w:lang w:val="ro-RO"/>
        </w:rPr>
        <w:t>Dintre reglementările europene şinaţionale relevante incidente în domeniul accesibilizării mediului construit pentru persoanele cu dizabilităţi, amintim:</w:t>
      </w:r>
    </w:p>
    <w:p>
      <w:pPr>
        <w:spacing w:line="240" w:lineRule="auto"/>
        <w:jc w:val="both"/>
        <w:rPr>
          <w:rFonts w:ascii="Trebuchet MS" w:hAnsi="Trebuchet MS"/>
          <w:lang w:val="ro-RO"/>
        </w:rPr>
      </w:pPr>
      <w:r>
        <w:rPr>
          <w:rFonts w:ascii="Trebuchet MS" w:hAnsi="Trebuchet MS"/>
          <w:lang w:val="ro-RO"/>
        </w:rPr>
        <w:t> art. 7 al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pPr>
        <w:spacing w:line="240" w:lineRule="auto"/>
        <w:jc w:val="both"/>
        <w:rPr>
          <w:rFonts w:ascii="Trebuchet MS" w:hAnsi="Trebuchet MS"/>
          <w:lang w:val="ro-RO"/>
        </w:rPr>
      </w:pPr>
      <w:r>
        <w:rPr>
          <w:rFonts w:ascii="Trebuchet MS" w:hAnsi="Trebuchet MS"/>
          <w:lang w:val="ro-RO"/>
        </w:rPr>
        <w:t> capitolul IV Accesibilitate din Legea 448 din 2006 privind protecţia şi promovarea drepturilor persoanelor cu handicap  ( Anexa 3 -Declaratia de angajament)</w:t>
      </w:r>
    </w:p>
    <w:p>
      <w:pPr>
        <w:spacing w:line="240" w:lineRule="auto"/>
        <w:jc w:val="both"/>
        <w:rPr>
          <w:rFonts w:ascii="Trebuchet MS" w:hAnsi="Trebuchet MS"/>
          <w:lang w:val="ro-RO"/>
        </w:rPr>
      </w:pPr>
      <w:r>
        <w:rPr>
          <w:rFonts w:ascii="Trebuchet MS" w:hAnsi="Trebuchet MS"/>
          <w:lang w:val="ro-RO"/>
        </w:rPr>
        <w:lastRenderedPageBreak/>
        <w:t> Ordinul Nr. 189 din 2013 pentru aprobarea reglementării tehnice "Normativ privind adaptarea clădirilor civile şispaţiului urban la nevoile individuale ale persoanelor cu handicap, indicativ NP 051-2012 - Revizuire NP 051/2000".</w:t>
      </w:r>
    </w:p>
    <w:p>
      <w:pPr>
        <w:spacing w:line="240" w:lineRule="auto"/>
        <w:jc w:val="both"/>
        <w:rPr>
          <w:rFonts w:ascii="Trebuchet MS" w:hAnsi="Trebuchet MS"/>
          <w:lang w:val="ro-RO"/>
        </w:rPr>
      </w:pPr>
      <w:r>
        <w:rPr>
          <w:rFonts w:ascii="Trebuchet MS" w:hAnsi="Trebuchet MS"/>
          <w:lang w:val="ro-RO"/>
        </w:rPr>
        <w:t>Proiectul implementează măsuri de îmbunătățire a calității mediului înconjurător.</w:t>
      </w:r>
    </w:p>
    <w:p>
      <w:pPr>
        <w:spacing w:line="240" w:lineRule="auto"/>
        <w:jc w:val="both"/>
        <w:rPr>
          <w:rFonts w:ascii="Trebuchet MS" w:hAnsi="Trebuchet MS"/>
          <w:lang w:val="ro-RO"/>
        </w:rPr>
      </w:pPr>
      <w:r>
        <w:rPr>
          <w:rFonts w:ascii="Trebuchet MS" w:hAnsi="Trebuchet MS"/>
          <w:lang w:val="ro-RO"/>
        </w:rPr>
        <w:t xml:space="preserve">Solicitantul respectă minimul legislativ în aceste domenii, asumat prin Declarația de angajament (Anexa 3). </w:t>
      </w:r>
    </w:p>
    <w:p>
      <w:pPr>
        <w:spacing w:line="240" w:lineRule="auto"/>
        <w:jc w:val="both"/>
        <w:rPr>
          <w:rFonts w:ascii="Trebuchet MS" w:hAnsi="Trebuchet MS"/>
          <w:b/>
          <w:lang w:val="ro-RO"/>
        </w:rPr>
      </w:pPr>
      <w:r>
        <w:rPr>
          <w:rFonts w:ascii="Trebuchet MS" w:hAnsi="Trebuchet MS"/>
          <w:b/>
          <w:lang w:val="ro-RO"/>
        </w:rPr>
        <w:t>5. Este asigurată contribuția eligibilă minimă a solicitantului și a partenerilor, după caz, pentru categoriile 1-3 de solicitanți.</w:t>
      </w:r>
    </w:p>
    <w:p>
      <w:pPr>
        <w:spacing w:line="240" w:lineRule="auto"/>
        <w:jc w:val="both"/>
        <w:rPr>
          <w:rFonts w:ascii="Trebuchet MS" w:hAnsi="Trebuchet MS"/>
          <w:lang w:val="ro-RO"/>
        </w:rPr>
      </w:pPr>
      <w:r>
        <w:rPr>
          <w:rFonts w:ascii="Trebuchet MS" w:hAnsi="Trebuchet MS"/>
          <w:lang w:val="ro-RO"/>
        </w:rPr>
        <w:t>Contribuția eligibilă minimă a solicitantului și partenerilor, după caz, din totalul costurilor eligibile, este prezentată în tabelul de mai jos:</w:t>
      </w:r>
      <w:r>
        <w:rPr>
          <w:rFonts w:ascii="Trebuchet MS" w:hAnsi="Trebuchet MS"/>
          <w:b/>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902"/>
        <w:gridCol w:w="1819"/>
        <w:gridCol w:w="1850"/>
        <w:gridCol w:w="1904"/>
      </w:tblGrid>
      <w:tr>
        <w:tc>
          <w:tcPr>
            <w:tcW w:w="956" w:type="pct"/>
            <w:vMerge w:val="restar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Axa prioritară</w:t>
            </w:r>
          </w:p>
        </w:tc>
        <w:tc>
          <w:tcPr>
            <w:tcW w:w="1029" w:type="pct"/>
            <w:vMerge w:val="restar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Tipuri de regiuni</w:t>
            </w:r>
          </w:p>
        </w:tc>
        <w:tc>
          <w:tcPr>
            <w:tcW w:w="984" w:type="pct"/>
            <w:vMerge w:val="restar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UE</w:t>
            </w:r>
          </w:p>
          <w:p>
            <w:pPr>
              <w:spacing w:after="0" w:line="240" w:lineRule="auto"/>
              <w:jc w:val="both"/>
              <w:rPr>
                <w:rFonts w:ascii="Trebuchet MS" w:hAnsi="Trebuchet MS"/>
                <w:b/>
                <w:lang w:val="ro-RO"/>
              </w:rPr>
            </w:pPr>
            <w:r>
              <w:rPr>
                <w:rFonts w:ascii="Trebuchet MS" w:hAnsi="Trebuchet MS"/>
                <w:b/>
                <w:lang w:val="ro-RO"/>
              </w:rPr>
              <w:t>%</w:t>
            </w:r>
          </w:p>
        </w:tc>
        <w:tc>
          <w:tcPr>
            <w:tcW w:w="2031" w:type="pct"/>
            <w:gridSpan w:val="2"/>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națională</w:t>
            </w:r>
          </w:p>
        </w:tc>
      </w:tr>
      <w:tr>
        <w:tc>
          <w:tcPr>
            <w:tcW w:w="956" w:type="pct"/>
            <w:vMerge/>
            <w:shd w:val="clear" w:color="auto" w:fill="F2DBDB"/>
            <w:vAlign w:val="center"/>
          </w:tcPr>
          <w:p>
            <w:pPr>
              <w:spacing w:after="0" w:line="240" w:lineRule="auto"/>
              <w:jc w:val="both"/>
              <w:rPr>
                <w:rFonts w:ascii="Trebuchet MS" w:hAnsi="Trebuchet MS"/>
                <w:b/>
                <w:lang w:val="ro-RO"/>
              </w:rPr>
            </w:pPr>
          </w:p>
        </w:tc>
        <w:tc>
          <w:tcPr>
            <w:tcW w:w="1029" w:type="pct"/>
            <w:vMerge/>
            <w:shd w:val="clear" w:color="auto" w:fill="F2DBDB"/>
            <w:vAlign w:val="center"/>
          </w:tcPr>
          <w:p>
            <w:pPr>
              <w:spacing w:after="0" w:line="240" w:lineRule="auto"/>
              <w:jc w:val="both"/>
              <w:rPr>
                <w:rFonts w:ascii="Trebuchet MS" w:hAnsi="Trebuchet MS"/>
                <w:b/>
                <w:lang w:val="ro-RO"/>
              </w:rPr>
            </w:pPr>
          </w:p>
        </w:tc>
        <w:tc>
          <w:tcPr>
            <w:tcW w:w="984" w:type="pct"/>
            <w:vMerge/>
            <w:shd w:val="clear" w:color="auto" w:fill="F2DBDB"/>
            <w:vAlign w:val="center"/>
          </w:tcPr>
          <w:p>
            <w:pPr>
              <w:spacing w:after="0" w:line="240" w:lineRule="auto"/>
              <w:jc w:val="both"/>
              <w:rPr>
                <w:rFonts w:ascii="Trebuchet MS" w:hAnsi="Trebuchet MS"/>
                <w:b/>
                <w:lang w:val="ro-RO"/>
              </w:rPr>
            </w:pPr>
          </w:p>
        </w:tc>
        <w:tc>
          <w:tcPr>
            <w:tcW w:w="1001" w:type="pc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proprie (beneficiar)%</w:t>
            </w:r>
          </w:p>
        </w:tc>
        <w:tc>
          <w:tcPr>
            <w:tcW w:w="1030" w:type="pc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publică</w:t>
            </w:r>
          </w:p>
          <w:p>
            <w:pPr>
              <w:spacing w:after="0" w:line="240" w:lineRule="auto"/>
              <w:jc w:val="both"/>
              <w:rPr>
                <w:rFonts w:ascii="Trebuchet MS" w:hAnsi="Trebuchet MS"/>
                <w:b/>
                <w:lang w:val="ro-RO"/>
              </w:rPr>
            </w:pPr>
            <w:r>
              <w:rPr>
                <w:rFonts w:ascii="Trebuchet MS" w:hAnsi="Trebuchet MS"/>
                <w:b/>
                <w:lang w:val="ro-RO"/>
              </w:rPr>
              <w:t>(buget de stat)%</w:t>
            </w:r>
          </w:p>
        </w:tc>
      </w:tr>
      <w:tr>
        <w:tc>
          <w:tcPr>
            <w:tcW w:w="956" w:type="pct"/>
            <w:shd w:val="clear" w:color="auto" w:fill="auto"/>
          </w:tcPr>
          <w:p>
            <w:pPr>
              <w:spacing w:after="0" w:line="240" w:lineRule="auto"/>
              <w:jc w:val="both"/>
              <w:rPr>
                <w:rFonts w:ascii="Trebuchet MS" w:hAnsi="Trebuchet MS"/>
                <w:b/>
                <w:lang w:val="ro-RO"/>
              </w:rPr>
            </w:pPr>
            <w:r>
              <w:rPr>
                <w:rFonts w:ascii="Trebuchet MS" w:hAnsi="Trebuchet MS"/>
                <w:b/>
                <w:lang w:val="ro-RO"/>
              </w:rPr>
              <w:t>AP 9</w:t>
            </w:r>
          </w:p>
          <w:p>
            <w:pPr>
              <w:spacing w:after="0" w:line="240" w:lineRule="auto"/>
              <w:jc w:val="both"/>
              <w:rPr>
                <w:rFonts w:ascii="Trebuchet MS" w:hAnsi="Trebuchet MS"/>
                <w:b/>
                <w:lang w:val="ro-RO"/>
              </w:rPr>
            </w:pPr>
            <w:r>
              <w:rPr>
                <w:rFonts w:ascii="Trebuchet MS" w:hAnsi="Trebuchet MS"/>
                <w:b/>
                <w:lang w:val="ro-RO"/>
              </w:rPr>
              <w:t>POR</w:t>
            </w:r>
          </w:p>
        </w:tc>
        <w:tc>
          <w:tcPr>
            <w:tcW w:w="1029" w:type="pct"/>
            <w:shd w:val="clear" w:color="auto" w:fill="auto"/>
          </w:tcPr>
          <w:p>
            <w:pPr>
              <w:spacing w:after="0" w:line="240" w:lineRule="auto"/>
              <w:jc w:val="both"/>
              <w:rPr>
                <w:rFonts w:ascii="Trebuchet MS" w:hAnsi="Trebuchet MS"/>
                <w:lang w:val="ro-RO"/>
              </w:rPr>
            </w:pPr>
            <w:r>
              <w:rPr>
                <w:rFonts w:ascii="Trebuchet MS" w:hAnsi="Trebuchet MS"/>
                <w:lang w:val="ro-RO"/>
              </w:rPr>
              <w:t>Regiuni mai puțin dezvoltate</w:t>
            </w:r>
          </w:p>
        </w:tc>
        <w:tc>
          <w:tcPr>
            <w:tcW w:w="984" w:type="pct"/>
            <w:shd w:val="clear" w:color="auto" w:fill="auto"/>
          </w:tcPr>
          <w:p>
            <w:pPr>
              <w:spacing w:after="0" w:line="240" w:lineRule="auto"/>
              <w:jc w:val="center"/>
              <w:rPr>
                <w:rFonts w:ascii="Trebuchet MS" w:hAnsi="Trebuchet MS"/>
                <w:lang w:val="ro-RO"/>
              </w:rPr>
            </w:pPr>
            <w:r>
              <w:rPr>
                <w:rFonts w:ascii="Trebuchet MS" w:hAnsi="Trebuchet MS"/>
                <w:lang w:val="ro-RO"/>
              </w:rPr>
              <w:t>95%</w:t>
            </w:r>
          </w:p>
        </w:tc>
        <w:tc>
          <w:tcPr>
            <w:tcW w:w="1001" w:type="pct"/>
            <w:shd w:val="clear" w:color="auto" w:fill="auto"/>
          </w:tcPr>
          <w:p>
            <w:pPr>
              <w:spacing w:after="0" w:line="240" w:lineRule="auto"/>
              <w:jc w:val="center"/>
              <w:rPr>
                <w:rFonts w:ascii="Trebuchet MS" w:hAnsi="Trebuchet MS"/>
                <w:lang w:val="ro-RO"/>
              </w:rPr>
            </w:pPr>
            <w:r>
              <w:rPr>
                <w:rFonts w:ascii="Trebuchet MS" w:hAnsi="Trebuchet MS"/>
                <w:lang w:val="ro-RO"/>
              </w:rPr>
              <w:t>2%</w:t>
            </w:r>
          </w:p>
        </w:tc>
        <w:tc>
          <w:tcPr>
            <w:tcW w:w="1030" w:type="pct"/>
            <w:shd w:val="clear" w:color="auto" w:fill="auto"/>
          </w:tcPr>
          <w:p>
            <w:pPr>
              <w:spacing w:after="0" w:line="240" w:lineRule="auto"/>
              <w:jc w:val="center"/>
              <w:rPr>
                <w:rFonts w:ascii="Trebuchet MS" w:hAnsi="Trebuchet MS"/>
                <w:lang w:val="ro-RO"/>
              </w:rPr>
            </w:pPr>
            <w:r>
              <w:rPr>
                <w:rFonts w:ascii="Trebuchet MS" w:hAnsi="Trebuchet MS"/>
                <w:lang w:val="ro-RO"/>
              </w:rPr>
              <w:t>3%</w:t>
            </w:r>
          </w:p>
        </w:tc>
      </w:tr>
    </w:tbl>
    <w:p>
      <w:pPr>
        <w:spacing w:line="240" w:lineRule="auto"/>
        <w:jc w:val="both"/>
        <w:rPr>
          <w:rFonts w:ascii="Trebuchet MS" w:hAnsi="Trebuchet MS"/>
          <w:b/>
          <w:lang w:val="ro-RO"/>
        </w:rPr>
      </w:pPr>
    </w:p>
    <w:p>
      <w:pPr>
        <w:spacing w:line="240" w:lineRule="auto"/>
        <w:jc w:val="both"/>
        <w:rPr>
          <w:rFonts w:ascii="Trebuchet MS" w:hAnsi="Trebuchet MS"/>
          <w:b/>
          <w:lang w:val="ro-RO"/>
        </w:rPr>
      </w:pPr>
      <w:r>
        <w:rPr>
          <w:rFonts w:ascii="Trebuchet MS" w:hAnsi="Trebuchet MS"/>
          <w:b/>
          <w:lang w:val="ro-RO"/>
        </w:rPr>
        <w:t>6. Proiectul propus spre finanţare nu trebuie să fie încheiat în mod fizic sau implementat integral înainte de depunerea fișei de proiect, indiferent dacă toate plăţile aferente au fost realizate sau nu de beneficiar (art. 65 din Regulamentul Parlamentului European şi al Consiliului nr. 1303/2013).</w:t>
      </w:r>
    </w:p>
    <w:p>
      <w:pPr>
        <w:spacing w:line="240" w:lineRule="auto"/>
        <w:jc w:val="both"/>
        <w:rPr>
          <w:rFonts w:ascii="Trebuchet MS" w:hAnsi="Trebuchet MS"/>
          <w:lang w:val="ro-RO"/>
        </w:rPr>
      </w:pPr>
      <w:r>
        <w:rPr>
          <w:rFonts w:ascii="Trebuchet MS" w:hAnsi="Trebuchet MS"/>
          <w:lang w:val="ro-RO"/>
        </w:rPr>
        <w:t xml:space="preserve">Nu sunt eligibile investiţiile care au fost finalizate din punct de vedere fizic (ex. a fost efectuată recepţia la terminarea lucrărilor) până la momentul depunerii fișei de proiect. </w:t>
      </w:r>
    </w:p>
    <w:p>
      <w:pPr>
        <w:spacing w:line="240" w:lineRule="auto"/>
        <w:jc w:val="both"/>
        <w:rPr>
          <w:rFonts w:ascii="Trebuchet MS" w:hAnsi="Trebuchet MS"/>
          <w:lang w:val="ro-RO"/>
        </w:rPr>
      </w:pPr>
      <w:r>
        <w:rPr>
          <w:rFonts w:ascii="Trebuchet MS" w:hAnsi="Trebuchet MS"/>
          <w:lang w:val="ro-RO"/>
        </w:rPr>
        <w:t>Recepția la terminarea lucrărilor poate fi făcută și în perioada cuprinsă între data depunerii cererii de finanțare și data semnării contractului de finanțare, în condițiile respectării prevederilor Regulamentului Parlamentului European şi al Consiliului nr. 1303/2013, mai sus-menționate, și în măsura în care amânarea recepției s-a făcut cu respectarea prevederilor contractului de lucrări și a legislației specifice în domeniul recepției lucrărilor de construcții (Regulamentul din 14 iunie 1994 de recepție a lucrărilor de construcții și instalații aferente acestora, aprobat prin Hotărârea Guvernului nr. 273/1994, cu modificările și completările ulterioare).</w:t>
      </w:r>
    </w:p>
    <w:p>
      <w:pPr>
        <w:spacing w:line="240" w:lineRule="auto"/>
        <w:jc w:val="both"/>
        <w:rPr>
          <w:rFonts w:ascii="Trebuchet MS" w:hAnsi="Trebuchet MS"/>
          <w:lang w:val="ro-RO"/>
        </w:rPr>
      </w:pPr>
      <w:r>
        <w:rPr>
          <w:rFonts w:ascii="Trebuchet MS" w:hAnsi="Trebuchet MS"/>
          <w:lang w:val="ro-RO"/>
        </w:rPr>
        <w:t>Se va evita situația în care deși recepția la terminarea lucrărilor nu a fost realizată, investiția a fost încheiată în mod fizic sau implementată integral.</w:t>
      </w:r>
    </w:p>
    <w:p>
      <w:pPr>
        <w:spacing w:line="240" w:lineRule="auto"/>
        <w:jc w:val="both"/>
        <w:rPr>
          <w:rFonts w:ascii="Trebuchet MS" w:hAnsi="Trebuchet MS"/>
          <w:lang w:val="ro-RO"/>
        </w:rPr>
      </w:pPr>
      <w:r>
        <w:rPr>
          <w:rFonts w:ascii="Trebuchet MS" w:hAnsi="Trebuchet MS"/>
          <w:lang w:val="ro-RO"/>
        </w:rPr>
        <w:t xml:space="preserve">Recepția la terminarea lucrărilor nu trebuie amânată în afara termenului contractual și/sau legal în scopul încadrării în condițiile de eligibilitate prevăzute de Ghidul specific, fapt care poate conduce la încălcarea prevederilor reglementate prin Regulamentul nr. </w:t>
      </w:r>
      <w:r>
        <w:rPr>
          <w:rFonts w:ascii="Trebuchet MS" w:hAnsi="Trebuchet MS"/>
          <w:lang w:val="ro-RO"/>
        </w:rPr>
        <w:lastRenderedPageBreak/>
        <w:t>1303/2013, a legislației naționale în domeniul lucrărilor de construcție, precum și a principiului tratamentului egal și nediscriminatoriu în raport cu solicitanții de finanțare.</w:t>
      </w:r>
    </w:p>
    <w:p>
      <w:pPr>
        <w:spacing w:line="240" w:lineRule="auto"/>
        <w:jc w:val="both"/>
        <w:rPr>
          <w:rFonts w:ascii="Trebuchet MS" w:hAnsi="Trebuchet MS"/>
          <w:lang w:val="ro-RO"/>
        </w:rPr>
      </w:pPr>
      <w:r>
        <w:rPr>
          <w:rFonts w:ascii="Trebuchet MS" w:hAnsi="Trebuchet MS"/>
          <w:lang w:val="ro-RO"/>
        </w:rPr>
        <w:t>Aspectele sunt asumate prin Declaraţia de eligibilitate (Anexa 2 - Declaraţia de eligibilitate).</w:t>
      </w:r>
    </w:p>
    <w:p>
      <w:pPr>
        <w:spacing w:line="240" w:lineRule="auto"/>
        <w:jc w:val="both"/>
        <w:rPr>
          <w:rFonts w:ascii="Trebuchet MS" w:hAnsi="Trebuchet MS"/>
          <w:b/>
          <w:lang w:val="ro-RO"/>
        </w:rPr>
      </w:pPr>
      <w:r>
        <w:rPr>
          <w:rFonts w:ascii="Trebuchet MS" w:hAnsi="Trebuchet MS"/>
          <w:b/>
          <w:lang w:val="ro-RO"/>
        </w:rPr>
        <w:t>7. Proiectul propus nu a mai beneficiat de finanţare publică în ultimii 5 ani, înainte de data depunerii fisei de proiect, pentru acelaşi tip de activităţi (construcţie/extindere/modernizare/reabilitare/dotare) realizate asupra aceleiaşi infrastructuri/ aceluiaşi segment de infrastructură şi nu beneficiază în prezent de fonduri publice din alte surse de finanţare, altele decât cele ale solicitantului</w:t>
      </w:r>
    </w:p>
    <w:p>
      <w:pPr>
        <w:spacing w:line="240" w:lineRule="auto"/>
        <w:jc w:val="both"/>
        <w:rPr>
          <w:rFonts w:ascii="Trebuchet MS" w:hAnsi="Trebuchet MS"/>
          <w:lang w:val="ro-RO"/>
        </w:rPr>
      </w:pPr>
      <w:r>
        <w:rPr>
          <w:rFonts w:ascii="Trebuchet MS" w:hAnsi="Trebuchet MS"/>
          <w:lang w:val="ro-RO"/>
        </w:rPr>
        <w:t>Momentul de la care se calculează perioada de 5 ani este momentul la care s-a finalizat implementarea contractului de lucrări anterior (data recepției finale, după expirarea perioadei de garanție).</w:t>
      </w:r>
    </w:p>
    <w:p>
      <w:pPr>
        <w:spacing w:line="240" w:lineRule="auto"/>
        <w:jc w:val="both"/>
        <w:rPr>
          <w:rFonts w:ascii="Trebuchet MS" w:hAnsi="Trebuchet MS"/>
          <w:lang w:val="ro-RO"/>
        </w:rPr>
      </w:pPr>
      <w:r>
        <w:rPr>
          <w:rFonts w:ascii="Trebuchet MS" w:hAnsi="Trebuchet MS"/>
          <w:lang w:val="ro-RO"/>
        </w:rPr>
        <w:t>Se va asigura de către solicitant evitarea dublei finanțări a lucrărilor de intervenție/activităților care au beneficiat de finanțare publică în ultimii 5 ani/care beneficiază în prezent de fonduri publice din alte surse de finanțare, altele decât cele ale solicitantului și a lucrărilor de intervenție/ activităților aferente operațiunii, propuse prin proiect.</w:t>
      </w:r>
    </w:p>
    <w:p>
      <w:pPr>
        <w:spacing w:line="240" w:lineRule="auto"/>
        <w:jc w:val="both"/>
        <w:rPr>
          <w:rFonts w:ascii="Trebuchet MS" w:hAnsi="Trebuchet MS"/>
          <w:lang w:val="ro-RO"/>
        </w:rPr>
      </w:pPr>
      <w:r>
        <w:rPr>
          <w:rFonts w:ascii="Trebuchet MS" w:hAnsi="Trebuchet MS"/>
          <w:lang w:val="ro-RO"/>
        </w:rPr>
        <w:t>Aşadar, solicitantul se va asigura, dacă este cazul, că s-a realizat recepţia finală în cazul acelorași lucrări de intervenție/activități realizate asupra aceleiași infrastructuri/aceluiași segment de infrastructură ca cele propuse prin proiect, înainte de începerea perioadei celor 5 ani.</w:t>
      </w:r>
    </w:p>
    <w:p>
      <w:pPr>
        <w:spacing w:line="240" w:lineRule="auto"/>
        <w:jc w:val="both"/>
        <w:rPr>
          <w:rFonts w:ascii="Trebuchet MS" w:hAnsi="Trebuchet MS"/>
          <w:lang w:val="ro-RO"/>
        </w:rPr>
      </w:pPr>
      <w:r>
        <w:rPr>
          <w:rFonts w:ascii="Trebuchet MS" w:hAnsi="Trebuchet MS"/>
          <w:lang w:val="ro-RO"/>
        </w:rPr>
        <w:t>De asemenea, proiectul propus nu beneficiază în prezent de fonduri publice din alte surse de finanţare.</w:t>
      </w:r>
    </w:p>
    <w:p>
      <w:pPr>
        <w:spacing w:line="240" w:lineRule="auto"/>
        <w:jc w:val="both"/>
        <w:rPr>
          <w:rFonts w:ascii="Trebuchet MS" w:hAnsi="Trebuchet MS"/>
          <w:lang w:val="ro-RO"/>
        </w:rPr>
      </w:pPr>
      <w:r>
        <w:rPr>
          <w:rFonts w:ascii="Trebuchet MS" w:hAnsi="Trebuchet MS"/>
          <w:lang w:val="ro-RO"/>
        </w:rPr>
        <w:t>Criteriul nu se aplică pentru lucrările de întreținere și reparații curente.</w:t>
      </w:r>
    </w:p>
    <w:p>
      <w:pPr>
        <w:spacing w:line="240" w:lineRule="auto"/>
        <w:jc w:val="both"/>
        <w:rPr>
          <w:rFonts w:ascii="Trebuchet MS" w:hAnsi="Trebuchet MS"/>
          <w:lang w:val="ro-RO"/>
        </w:rPr>
      </w:pPr>
      <w:r>
        <w:rPr>
          <w:rFonts w:ascii="Trebuchet MS" w:hAnsi="Trebuchet MS"/>
          <w:lang w:val="ro-RO"/>
        </w:rPr>
        <w:t>Se va vedea Declaraţia de eligibilitate (Anexa 2 - Declaraţia de eligibilitate). Aspectele se corelează cu informațiile completate în fișa de proiect.</w:t>
      </w:r>
    </w:p>
    <w:p>
      <w:pPr>
        <w:spacing w:line="240" w:lineRule="auto"/>
        <w:jc w:val="both"/>
        <w:rPr>
          <w:rFonts w:ascii="Trebuchet MS" w:hAnsi="Trebuchet MS"/>
          <w:lang w:val="ro-RO"/>
        </w:rPr>
      </w:pPr>
      <w:r>
        <w:rPr>
          <w:rFonts w:ascii="Trebuchet MS" w:hAnsi="Trebuchet MS"/>
          <w:b/>
          <w:lang w:val="ro-RO"/>
        </w:rPr>
        <w:t>NOTĂ:Pentru proiectele cu lucrări începute,</w:t>
      </w:r>
      <w:r>
        <w:rPr>
          <w:rFonts w:ascii="Trebuchet MS" w:hAnsi="Trebuchet MS"/>
          <w:lang w:val="ro-RO"/>
        </w:rPr>
        <w:t>proiectul propus nu a mai beneficiat de finanțare publică în ultimii 5 ani înainte de data emiterii ordinului de începere a contractului de lucrări (emis obligatoriu după data de 1 ianuarie 2014), pentru acelaşi tip de activităţi (construcţie/extindere/modernizare/reabilitare/dotare) realizate asupra aceleiaşi infrastructuri/ aceluiaşi segment de infrastructură, şi nu s-a aflat în perioada de garanţie pentru lucrările de intervenție/activitățile enumerate anterior.</w:t>
      </w:r>
    </w:p>
    <w:p>
      <w:pPr>
        <w:spacing w:line="240" w:lineRule="auto"/>
        <w:jc w:val="both"/>
        <w:rPr>
          <w:rFonts w:ascii="Trebuchet MS" w:hAnsi="Trebuchet MS"/>
          <w:lang w:val="ro-RO"/>
        </w:rPr>
      </w:pPr>
      <w:r>
        <w:rPr>
          <w:rFonts w:ascii="Trebuchet MS" w:hAnsi="Trebuchet MS"/>
          <w:lang w:val="ro-RO"/>
        </w:rPr>
        <w:t>După data emiterii ordinului de începere a lucrărilor, lucrările de intervenție/activitățile nu au beneficiat de fonduri publice din alte surse de finanţare, exceptând pe cele aferente contractului de lucrări ce face obiectul proiectului.</w:t>
      </w:r>
    </w:p>
    <w:p>
      <w:pPr>
        <w:spacing w:line="240" w:lineRule="auto"/>
        <w:jc w:val="both"/>
        <w:rPr>
          <w:rFonts w:ascii="Trebuchet MS" w:hAnsi="Trebuchet MS"/>
          <w:lang w:val="ro-RO"/>
        </w:rPr>
      </w:pPr>
      <w:r>
        <w:rPr>
          <w:rFonts w:ascii="Trebuchet MS" w:hAnsi="Trebuchet MS"/>
          <w:lang w:val="ro-RO"/>
        </w:rPr>
        <w:t>Criteriul nu se aplică pentru lucrările de întreținere și reparații curente.</w:t>
      </w:r>
    </w:p>
    <w:p>
      <w:pPr>
        <w:spacing w:line="240" w:lineRule="auto"/>
        <w:jc w:val="both"/>
        <w:rPr>
          <w:rFonts w:ascii="Trebuchet MS" w:hAnsi="Trebuchet MS"/>
          <w:lang w:val="ro-RO"/>
        </w:rPr>
      </w:pPr>
      <w:r>
        <w:rPr>
          <w:rFonts w:ascii="Trebuchet MS" w:hAnsi="Trebuchet MS"/>
          <w:lang w:val="ro-RO"/>
        </w:rPr>
        <w:lastRenderedPageBreak/>
        <w:t>Se va vedea Declaraţia de eligibilitate (Anexa 2 - Declaraţia de eligibilitate). Aspectele se corelează cu informațiile completate în fișa de proiect.</w:t>
      </w:r>
    </w:p>
    <w:p>
      <w:pPr>
        <w:spacing w:line="240" w:lineRule="auto"/>
        <w:jc w:val="both"/>
        <w:rPr>
          <w:rFonts w:ascii="Trebuchet MS" w:hAnsi="Trebuchet MS"/>
          <w:b/>
          <w:lang w:val="ro-RO"/>
        </w:rPr>
      </w:pPr>
      <w:r>
        <w:rPr>
          <w:rFonts w:ascii="Trebuchet MS" w:hAnsi="Trebuchet MS"/>
          <w:b/>
          <w:lang w:val="ro-RO"/>
        </w:rPr>
        <w:t>8. Proiectul şiactivităţile sale se încadrează în obiectivele priorităţii de investiţii 9.1 şi în cadrul acţiunilor specifice sprijinite.</w:t>
      </w:r>
    </w:p>
    <w:p>
      <w:pPr>
        <w:spacing w:line="240" w:lineRule="auto"/>
        <w:jc w:val="both"/>
        <w:rPr>
          <w:rFonts w:ascii="Trebuchet MS" w:hAnsi="Trebuchet MS"/>
          <w:lang w:val="ro-RO"/>
        </w:rPr>
      </w:pPr>
      <w:r>
        <w:rPr>
          <w:rFonts w:ascii="Trebuchet MS" w:hAnsi="Trebuchet MS"/>
          <w:lang w:val="ro-RO"/>
        </w:rPr>
        <w:t xml:space="preserve">Plecând de la Obiectivul specific 9.1 - </w:t>
      </w:r>
      <w:r>
        <w:rPr>
          <w:rFonts w:ascii="Trebuchet MS" w:hAnsi="Trebuchet MS"/>
          <w:i/>
          <w:lang w:val="ro-RO"/>
        </w:rPr>
        <w:t>Reducerea numărului de persoane aflate în risc de sărăcie şi excluziune socială, prin măsuri integrate,</w:t>
      </w:r>
      <w:r>
        <w:rPr>
          <w:rFonts w:ascii="Trebuchet MS" w:hAnsi="Trebuchet MS"/>
          <w:lang w:val="ro-RO"/>
        </w:rPr>
        <w:t xml:space="preserve"> intervențiile PI 9.1 se încadrează în următoarele categorii de investiții și categorii de solicitanți:</w:t>
      </w:r>
    </w:p>
    <w:p>
      <w:pPr>
        <w:spacing w:line="240" w:lineRule="auto"/>
        <w:jc w:val="both"/>
        <w:rPr>
          <w:rFonts w:ascii="Trebuchet MS" w:hAnsi="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b/>
          <w:bCs/>
          <w:lang w:val="ro-RO"/>
        </w:rPr>
        <w:t>a. Investiţiile în clădiri, unde clădirea propusă pentru construcție/ reabilitare/ modernizare/ dotare, obiect al proiectului</w:t>
      </w:r>
      <w:r>
        <w:rPr>
          <w:rFonts w:ascii="Trebuchet MS" w:eastAsiaTheme="minorHAnsi" w:hAnsi="Trebuchet MS" w:cs="Trebuchet MS"/>
          <w:lang w:val="ro-RO"/>
        </w:rPr>
        <w:t xml:space="preserve">, trebuie să fie de tipul: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a. cladiri de locuințe sociale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b. centre comunitare integrate (CCI) care sunt/vor fi înființate și/sau funcționează/vor funcționa conform legislației în vigoare în domeniu.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c. unități de invățământ preuniversitar (creșe, grădinițe, scoli primare, școli gimnaziale, etc.)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 clădiri pentru a găzdui diferite activități sociale, comunitare, culturale, agrement și sport etc.(de ex: clădiri cu destinație de: centre multifunctionale/centre de recreere si dezvoltare personala, centre de zi, cantine sociale, băi publice, centre cu activități de agrement, biblioteci, teatre, cămine culturale etc).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b/>
          <w:color w:val="000000"/>
          <w:lang w:val="ro-RO"/>
        </w:rPr>
      </w:pPr>
    </w:p>
    <w:p>
      <w:pPr>
        <w:autoSpaceDE w:val="0"/>
        <w:autoSpaceDN w:val="0"/>
        <w:adjustRightInd w:val="0"/>
        <w:spacing w:after="0" w:line="240" w:lineRule="auto"/>
        <w:jc w:val="both"/>
        <w:rPr>
          <w:rFonts w:ascii="Trebuchet MS" w:eastAsiaTheme="minorHAnsi" w:hAnsi="Trebuchet MS" w:cs="Trebuchet MS"/>
          <w:b/>
          <w:color w:val="000000"/>
          <w:lang w:val="ro-RO"/>
        </w:rPr>
      </w:pPr>
      <w:r>
        <w:rPr>
          <w:rFonts w:ascii="Trebuchet MS" w:eastAsiaTheme="minorHAnsi" w:hAnsi="Trebuchet MS" w:cs="Trebuchet MS"/>
          <w:b/>
          <w:color w:val="000000"/>
          <w:lang w:val="ro-RO"/>
        </w:rPr>
        <w:t xml:space="preserve">Activitățile indicative vor fi : </w:t>
      </w:r>
    </w:p>
    <w:p>
      <w:pPr>
        <w:autoSpaceDE w:val="0"/>
        <w:autoSpaceDN w:val="0"/>
        <w:adjustRightInd w:val="0"/>
        <w:spacing w:after="0" w:line="240" w:lineRule="auto"/>
        <w:jc w:val="both"/>
        <w:rPr>
          <w:rFonts w:ascii="Trebuchet MS" w:eastAsiaTheme="minorHAnsi" w:hAnsi="Trebuchet MS" w:cs="Trebuchet MS"/>
          <w:b/>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Construcție/reabilitare/modernizare/extindere/dotare clădiri; </w:t>
      </w: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Crearea/ modernizarea facilităţilor de acces pentru persoane cu dizabilităţi; </w:t>
      </w: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Dotarea cu echipamente adaptate nevoilor beneficiarilor de servicii oferite de clădiri destinate utilizării publice pentru activități educative, culturale și recreative, inclusiv echipamente pentru persoane cu dizabilităţi si echipamente IT cu licenta; </w:t>
      </w: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lastRenderedPageBreak/>
        <w:t xml:space="preserve"> Lucrări de modernizare și dotare a clădirilor cu sistem supraveghere video, alarmă și pază; </w:t>
      </w: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Reabilitarea/extinderea/finalizarea unor clădiri actualmente deteriorate şi/sau neutilizate şi pregătirea acestora pentru noi activități educative, culturale și recreative, socio-culturale, noi servicii sociale din cadrul centrelor de zi. </w:t>
      </w:r>
    </w:p>
    <w:p>
      <w:pPr>
        <w:autoSpaceDE w:val="0"/>
        <w:autoSpaceDN w:val="0"/>
        <w:adjustRightInd w:val="0"/>
        <w:spacing w:after="0" w:line="240" w:lineRule="auto"/>
        <w:jc w:val="both"/>
        <w:rPr>
          <w:rFonts w:ascii="Trebuchet MS" w:eastAsiaTheme="minorHAnsi" w:hAnsi="Trebuchet MS" w:cs="Trebuchet MS"/>
          <w:color w:val="000000"/>
          <w:lang w:val="ro-RO"/>
        </w:rPr>
      </w:pPr>
    </w:p>
    <w:p>
      <w:pPr>
        <w:pageBreakBefore/>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i/>
          <w:iCs/>
          <w:lang w:val="ro-RO"/>
        </w:rPr>
        <w:lastRenderedPageBreak/>
        <w:t>În cazul cererilor de finanţare aferente proiectelor care includ si achiziţionarea şi instalarea de sisteme de supraveghere video,</w:t>
      </w:r>
      <w:r>
        <w:rPr>
          <w:rFonts w:ascii="Trebuchet MS" w:eastAsiaTheme="minorHAnsi" w:hAnsi="Trebuchet MS" w:cs="Trebuchet MS"/>
          <w:i/>
          <w:iCs/>
          <w:color w:val="C0504D" w:themeColor="accent2"/>
          <w:lang w:val="ro-RO"/>
        </w:rPr>
        <w:t xml:space="preserve"> </w:t>
      </w:r>
      <w:r>
        <w:rPr>
          <w:rFonts w:ascii="Trebuchet MS" w:eastAsiaTheme="minorHAnsi" w:hAnsi="Trebuchet MS" w:cs="Trebuchet MS"/>
          <w:i/>
          <w:iCs/>
          <w:lang w:val="ro-RO"/>
        </w:rPr>
        <w:t xml:space="preserve">solicitantul va face dovada că deţine dreptul de proprietate sau dreptul de administrare asupra imobilului/imobilelor (teren, clădire, structură, infrastructura etc) supravegheate, precum şi a dreptului de instalare a echipamentelor în cazul în care acestea sunt instalate pe imobile aparţinând unor terţi. </w:t>
      </w: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În cazul proiectelor de investiții la cladiri de locuințe sociale (locuinta sociala definita in conformitate cu Legea 114/1996), se vor considera cheltuieli neeligibile, cheltuielile aferente: </w:t>
      </w: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Nota :</w:t>
      </w:r>
      <w:r>
        <w:rPr>
          <w:sz w:val="16"/>
          <w:szCs w:val="16"/>
        </w:rPr>
        <w:t xml:space="preserve"> </w:t>
      </w:r>
      <w:r>
        <w:rPr>
          <w:rFonts w:ascii="Trebuchet MS" w:hAnsi="Trebuchet MS"/>
        </w:rPr>
        <w:t xml:space="preserve">Beneficiarul proiectului și /sau operatorul sistemelor de supraveghere video achiziționate și instalate prin proiect este responsabil și răspunde conform legii pentru aplicarea prevederilor Regulamentului (UE) 2016/679 privind protecţia persoanelor fizice în ceea ce priveşte prelucrarea datelor cu caracter personal şi privind libera circulaţie a acestor date şi de abrogare a Directivei 95/46/CE (Regulamentul general privind protecţia datelor). Noul Regulamentul General de Protecția Datelor a intrat în vigoare pe data de 25 mai 2016 și va fi de directă aplicabilitate începând cu data de 25 mai 2018. A se consulta site-ul http://www.dataprotection.ro al Autorității Naţionale de Supraveghere a Prelucrării Datelor cu Caracter Personal.) </w:t>
      </w:r>
      <w:r>
        <w:t xml:space="preserv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 apartamentelor cu destinaţie locuinţă (inclusiv apartamentelor declarate la ONRC ca sedii sociale de firmă, care nu desfăşoară activitate economică, cu destinaţie locuinţă), aflate în proprietatea persoanelor juridice, sau a UAT, autorităţilor şi instituţiilor publice.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 apartamentelor cu destinaţie de spaţii comerciale sau spaţii cu altă destinaţie decât cea de locuinţă sociala, aflate în proprietatea persoanelor fizice, a persoanelor juridice, a UAT sau a autorităţilor şi instituţiilor publice.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Pentru aceste spaţii, proprietarii lor vor suporta în proporţie de 100% cheltuielile aferente ce revin spaţiilor respective, proporţional cu cota-parte indiviză de proprietate și se va solicita acordul ocupantilor pentru realizarea investitiei.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b/>
          <w:bCs/>
          <w:lang w:val="ro-RO"/>
        </w:rPr>
        <w:t xml:space="preserve">b. Investitii în crearea/reabilitarea/modernizarea spațiilor publice urbane, respectiv străzi nemodernizate, inclusiv reabilitarea/modernizarea utilităților publice, zone verzi neamenajate, terenuri abandonate, zone pietonale și comerciale etc.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b/>
          <w:bCs/>
          <w:lang w:val="ro-RO"/>
        </w:rPr>
        <w:t xml:space="preserve">Activitati indicative: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Extindere, amenajare, reamenajare şi dotare parcuri, scuaruri şi alte spaţii publice verzi;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Reamenajarea spaţiilor urbane în zonele de locuit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Amenajarea spaţiului ca spaţiu verde şi refacerea esteticii peisajului mai ales în cartierele/zonele cu o lipsă acută de spaţii verzi;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Înverzirea suprafeţelor betonate (străzi, alei)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Amenajarea și dotare de spaţii şi locuri urbane de odihnă, relaxare şi recreere- terenuri de sport, teren pentru fitness, locuri de joaca pentru copii, etc;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Lucrări de dotare și montare cu sisteme /echipamente supraveghere video sau cabine de pază.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Se vor respecta următoarele condiții: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b/>
          <w:bCs/>
          <w:lang w:val="ro-RO"/>
        </w:rPr>
        <w:t xml:space="preserve">Prin zona verde/spațiu verde se înțelege suprafaţa de teren neocupată de construcţii, destinată plantării şi creşterii vegetaţiei ierboase şi lemnoase, care are ca scop asigurarea şi îmbunătăţirea factorilor de mediu şi a condiţiilor de viaţă în mediul urban, contribuind şi la înfrumuseţarea aspectului urbanistic al localităţii.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In cadrul prioritatii de investitii 9.1 se vor realiza următoarele tipuri de spații verzi publice cu acces nelimitat: </w:t>
      </w:r>
      <w:r>
        <w:rPr>
          <w:rFonts w:ascii="Trebuchet MS" w:eastAsiaTheme="minorHAnsi" w:hAnsi="Trebuchet MS" w:cs="Trebuchet MS"/>
          <w:b/>
          <w:bCs/>
          <w:lang w:val="ro-RO"/>
        </w:rPr>
        <w:t>parculete, grădini, scuaruri</w:t>
      </w:r>
      <w:r>
        <w:rPr>
          <w:rFonts w:ascii="Trebuchet MS" w:eastAsiaTheme="minorHAnsi" w:hAnsi="Trebuchet MS" w:cs="Trebuchet MS"/>
          <w:lang w:val="ro-RO"/>
        </w:rPr>
        <w:t xml:space="preserve">.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Termenii respectivi au următoarele semnificații in prezentul ghid: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Parculet – spațiu verde, format dintr-un cadru vegetal specific și din zone construite, cuprinzând dotări și echipări destinate activităților sportive sau recreative pentru populație; </w:t>
      </w:r>
    </w:p>
    <w:p>
      <w:pPr>
        <w:autoSpaceDE w:val="0"/>
        <w:autoSpaceDN w:val="0"/>
        <w:adjustRightInd w:val="0"/>
        <w:spacing w:after="0" w:line="240" w:lineRule="auto"/>
        <w:jc w:val="both"/>
        <w:rPr>
          <w:rFonts w:ascii="Trebuchet MS" w:eastAsiaTheme="minorHAnsi" w:hAnsi="Trebuchet MS" w:cs="Wingdings"/>
          <w:color w:val="000000"/>
          <w:lang w:val="ro-RO"/>
        </w:rPr>
      </w:pPr>
    </w:p>
    <w:p>
      <w:pPr>
        <w:autoSpaceDE w:val="0"/>
        <w:autoSpaceDN w:val="0"/>
        <w:adjustRightInd w:val="0"/>
        <w:spacing w:after="5" w:line="240" w:lineRule="auto"/>
        <w:jc w:val="both"/>
        <w:rPr>
          <w:rFonts w:ascii="Trebuchet MS" w:eastAsiaTheme="minorHAnsi" w:hAnsi="Trebuchet MS" w:cs="Trebuchet MS"/>
          <w:color w:val="000000"/>
          <w:lang w:val="ro-RO"/>
        </w:rPr>
      </w:pPr>
      <w:r>
        <w:rPr>
          <w:rFonts w:ascii="Trebuchet MS" w:eastAsiaTheme="minorHAnsi" w:hAnsi="Trebuchet MS" w:cs="Wingdings"/>
          <w:color w:val="000000"/>
          <w:lang w:val="ro-RO"/>
        </w:rPr>
        <w:t xml:space="preserve"> </w:t>
      </w:r>
      <w:r>
        <w:rPr>
          <w:rFonts w:ascii="Trebuchet MS" w:eastAsiaTheme="minorHAnsi" w:hAnsi="Trebuchet MS" w:cs="Trebuchet MS"/>
          <w:color w:val="000000"/>
          <w:lang w:val="ro-RO"/>
        </w:rPr>
        <w:t xml:space="preserve">Scuar – spațiu verde, amplasat în cadrul ansamblurilor de locuit, în jurul unor dotări publice, a amenajărilor sportive, de agrement pentru copii și tineret sau în alte locații;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Wingdings"/>
          <w:color w:val="000000"/>
          <w:lang w:val="ro-RO"/>
        </w:rPr>
        <w:t xml:space="preserve"> </w:t>
      </w:r>
      <w:r>
        <w:rPr>
          <w:rFonts w:ascii="Trebuchet MS" w:eastAsiaTheme="minorHAnsi" w:hAnsi="Trebuchet MS" w:cs="Trebuchet MS"/>
          <w:color w:val="000000"/>
          <w:lang w:val="ro-RO"/>
        </w:rPr>
        <w:t xml:space="preserve">Grădină – teren cultivat cu flori, copaci și arbuști ornamentali care este folosit pentru agrement și recreere, fiind deschis publicului.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lucrări edilitare – extinderi, branşamente, racorduri (apă, gaze, canal, energie electrică, termoficare), inclusiv lucrări de refacere a pavajelor, devieri si modificari ale retelelor de utilitati deja existente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lucrările de construcție/reabilitare/modernizare a următoarelor utilități publice: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alimentare cu apă;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canalizarea si epurarea apelor uzate;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colectarea, canalizarea si evacuarea apelor pluviale;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termoficare; </w:t>
      </w:r>
    </w:p>
    <w:p>
      <w:pPr>
        <w:autoSpaceDE w:val="0"/>
        <w:autoSpaceDN w:val="0"/>
        <w:adjustRightInd w:val="0"/>
        <w:spacing w:after="24" w:line="240" w:lineRule="auto"/>
        <w:jc w:val="both"/>
        <w:rPr>
          <w:rFonts w:ascii="Trebuchet MS" w:eastAsiaTheme="minorHAnsi" w:hAnsi="Trebuchet MS" w:cs="Trebuchet MS"/>
          <w:color w:val="C0504D" w:themeColor="accent2"/>
          <w:lang w:val="ro-RO"/>
        </w:rPr>
      </w:pPr>
      <w:r>
        <w:rPr>
          <w:rFonts w:ascii="Trebuchet MS" w:eastAsiaTheme="minorHAnsi" w:hAnsi="Trebuchet MS" w:cs="Trebuchet MS"/>
          <w:color w:val="000000"/>
          <w:lang w:val="ro-RO"/>
        </w:rPr>
        <w:t> salubrizare, gestionarea deșeurilor;</w:t>
      </w:r>
      <w:r>
        <w:rPr>
          <w:rFonts w:ascii="Trebuchet MS" w:eastAsiaTheme="minorHAnsi" w:hAnsi="Trebuchet MS" w:cs="Trebuchet MS"/>
          <w:color w:val="C0504D" w:themeColor="accent2"/>
          <w:lang w:val="ro-RO"/>
        </w:rPr>
        <w:t xml:space="preserv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iluminatul public. </w:t>
      </w:r>
    </w:p>
    <w:p>
      <w:pPr>
        <w:pStyle w:val="Default"/>
        <w:jc w:val="both"/>
        <w:rPr>
          <w:rFonts w:ascii="Trebuchet MS" w:hAnsi="Trebuchet MS" w:cs="Trebuchet MS"/>
          <w:sz w:val="22"/>
          <w:szCs w:val="22"/>
        </w:rPr>
      </w:pPr>
      <w:r>
        <w:rPr>
          <w:rFonts w:ascii="Trebuchet MS" w:hAnsi="Trebuchet MS" w:cs="Trebuchet MS"/>
        </w:rPr>
        <w:t xml:space="preserve">( NOTA - </w:t>
      </w:r>
      <w:r>
        <w:rPr>
          <w:rFonts w:ascii="Trebuchet MS" w:hAnsi="Trebuchet MS" w:cs="Trebuchet MS"/>
          <w:sz w:val="22"/>
          <w:szCs w:val="22"/>
        </w:rPr>
        <w:t xml:space="preserve"> În conformitate cu prevederile legii serviciilor comunitare de utilitati publice, legea 51/2006, art. 1, serviciile comunitare de utilitati publice, denumite in continuare servicii de utilitati publice, sunt definite ca totalitatea activitatilor de utilitate si interes public general, desfasurate la nivelul comunelor, oraselor, municipiilor sau judetelor sub conducerea, coordonarea si responsabilitatea autoritatilor administratiei publice locale, in scopul satisfacerii cerintelor comunitatilor locale, prin care se asigura urmatoarele utilitati: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a) alimentarea cu apa;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b) canalizarea si epurarea apelor uzate;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c) colectarea, canalizarea si evacuarea apelor pluviale;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 productia, transportul, distributia si furnizarea de energie termica in sistem centralizat;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e) salubrizarea localitatilor;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f) iluminatul public;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g)administrarea domeniului public si privat al unitatilor administrativ-teritoriale, precum si altele asemenea;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h) transportul public local.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lastRenderedPageBreak/>
        <w:t xml:space="preserve">Investițiile referitoare la utilitățile menționate mai sus vor fi legate de infrastructura spațiilor publice urbane, a locuinţelor sociale din zona urbană marginalizată și/sau zona urbană funcțională a SDL și/sau a clădirilor publice eligibile din zona urbană marginalizată și/sau zona urbană funcțională a SDL aferentă proiectului. </w:t>
      </w:r>
    </w:p>
    <w:p>
      <w:pPr>
        <w:autoSpaceDE w:val="0"/>
        <w:autoSpaceDN w:val="0"/>
        <w:adjustRightInd w:val="0"/>
        <w:spacing w:after="0" w:line="240" w:lineRule="auto"/>
        <w:jc w:val="both"/>
        <w:rPr>
          <w:rFonts w:ascii="Trebuchet MS" w:eastAsiaTheme="minorHAnsi" w:hAnsi="Trebuchet MS" w:cs="Trebuchet MS"/>
          <w:color w:val="000000"/>
          <w:lang w:val="ro-RO"/>
        </w:rPr>
      </w:pPr>
    </w:p>
    <w:p>
      <w:pPr>
        <w:pStyle w:val="Default"/>
        <w:jc w:val="both"/>
        <w:rPr>
          <w:rFonts w:ascii="Trebuchet MS" w:hAnsi="Trebuchet MS" w:cs="Trebuchet MS"/>
          <w:i/>
          <w:iCs/>
          <w:sz w:val="22"/>
          <w:szCs w:val="22"/>
        </w:rPr>
      </w:pPr>
      <w:r>
        <w:rPr>
          <w:rFonts w:ascii="Trebuchet MS" w:hAnsi="Trebuchet MS" w:cs="Trebuchet MS"/>
          <w:i/>
          <w:iCs/>
          <w:sz w:val="22"/>
          <w:szCs w:val="22"/>
        </w:rPr>
        <w:t xml:space="preserve">Nota: Sistemele de utilitati publice sunt parte componenta a infrastructurii tehnico-edilitare a unitatilor administrativ-teritoriale, sunt bunuri de interes si folosinta publica si apartin, prin natura lor sau potrivit legii, domeniului public ori privat al unitatilor administrativ-teritoriale, fiind supuse regimului juridic alproprietatii publice sau private a acestora, dupa caz. </w:t>
      </w:r>
    </w:p>
    <w:p>
      <w:pPr>
        <w:pStyle w:val="Default"/>
        <w:jc w:val="both"/>
        <w:rPr>
          <w:rFonts w:ascii="Trebuchet MS" w:hAnsi="Trebuchet MS" w:cs="Trebuchet MS"/>
          <w:sz w:val="22"/>
          <w:szCs w:val="22"/>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i/>
          <w:iCs/>
          <w:color w:val="000000"/>
          <w:lang w:val="ro-RO"/>
        </w:rPr>
        <w:t xml:space="preserve">Daca amplasarea si realizarea componentelor sistemelor de utilitati publice, respectiv dezvoltarea celor existente, impun ocuparea definitiva a unor terenuri sau dezafectarea unor cladiri, altele decat cele apartinand domeniului public ori privat al unitatilor administrativ-teritoriale, acestea vor fi trecute in proprietatea publica a unitatilor administrativ-teritoriale prin procedurile prevazute de lege.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i/>
          <w:iCs/>
          <w:color w:val="000000"/>
          <w:lang w:val="ro-RO"/>
        </w:rPr>
        <w:t xml:space="preserve">Pentru asigurarea protectiei si functionarii normale a sistemelor de utilitati publice, precum si pentru evitarea punerii in pericol a persoanelor, bunurilor si mediului, se instituie zone de protectie si de siguranta a acestora, in conformitate cu normele tehnice elaborate de autoritatile competente. </w:t>
      </w:r>
    </w:p>
    <w:p>
      <w:pPr>
        <w:autoSpaceDE w:val="0"/>
        <w:autoSpaceDN w:val="0"/>
        <w:adjustRightInd w:val="0"/>
        <w:spacing w:after="0" w:line="240" w:lineRule="auto"/>
        <w:jc w:val="both"/>
        <w:rPr>
          <w:rFonts w:ascii="Trebuchet MS" w:eastAsiaTheme="minorHAnsi" w:hAnsi="Trebuchet MS" w:cs="Trebuchet MS"/>
          <w:i/>
          <w:iCs/>
          <w:color w:val="000000"/>
          <w:lang w:val="ro-RO"/>
        </w:rPr>
      </w:pPr>
      <w:r>
        <w:rPr>
          <w:rFonts w:ascii="Trebuchet MS" w:eastAsiaTheme="minorHAnsi" w:hAnsi="Trebuchet MS" w:cs="Trebuchet MS"/>
          <w:i/>
          <w:iCs/>
          <w:color w:val="000000"/>
          <w:lang w:val="ro-RO"/>
        </w:rPr>
        <w:t xml:space="preserve">Lucrarile de infiintare, dezvoltare, reabilitare si retehnologizare a sistemelor de utilitati publice, precum si lucrarile de revizii, reparatii si remediere a avariilor sunt lucrari de utilitate publica.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Investiţiile în crearea/reabilitarea/modernizarea străzilor nemodernizate de importanță secundară, inclusiv trotuare, piste pentru bicicliști, alei pietonale, căi de acces, pot viza și următoarele activități indicative: </w:t>
      </w:r>
    </w:p>
    <w:p>
      <w:pPr>
        <w:autoSpaceDE w:val="0"/>
        <w:autoSpaceDN w:val="0"/>
        <w:adjustRightInd w:val="0"/>
        <w:spacing w:after="12"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Eliberarea şi amenajarea terenului; </w:t>
      </w:r>
    </w:p>
    <w:p>
      <w:pPr>
        <w:autoSpaceDE w:val="0"/>
        <w:autoSpaceDN w:val="0"/>
        <w:adjustRightInd w:val="0"/>
        <w:spacing w:after="12"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Devierea reţelelor de apă, electricitate, gaze şi canal, telefonie; </w:t>
      </w:r>
    </w:p>
    <w:p>
      <w:pPr>
        <w:autoSpaceDE w:val="0"/>
        <w:autoSpaceDN w:val="0"/>
        <w:adjustRightInd w:val="0"/>
        <w:spacing w:after="12" w:line="240" w:lineRule="auto"/>
        <w:jc w:val="both"/>
        <w:rPr>
          <w:rFonts w:ascii="Trebuchet MS" w:eastAsiaTheme="minorHAnsi" w:hAnsi="Trebuchet MS" w:cs="Trebuchet MS"/>
          <w:color w:val="000000"/>
          <w:lang w:val="ro-RO"/>
        </w:rPr>
      </w:pPr>
    </w:p>
    <w:p>
      <w:pPr>
        <w:autoSpaceDE w:val="0"/>
        <w:autoSpaceDN w:val="0"/>
        <w:adjustRightInd w:val="0"/>
        <w:spacing w:after="12"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Amenajări pentru protecţia mediului;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Modernizarea şi extinderea reţelelor de utilităţi existente în corpul drumului (apă, canalizare </w:t>
      </w:r>
    </w:p>
    <w:p>
      <w:pPr>
        <w:pStyle w:val="Default"/>
        <w:jc w:val="both"/>
        <w:rPr>
          <w:rFonts w:ascii="Trebuchet MS" w:hAnsi="Trebuchet MS" w:cs="Trebuchet MS"/>
          <w:sz w:val="22"/>
          <w:szCs w:val="22"/>
        </w:rPr>
      </w:pPr>
      <w:r>
        <w:rPr>
          <w:rFonts w:ascii="Trebuchet MS" w:hAnsi="Trebuchet MS" w:cs="Trebuchet MS"/>
          <w:sz w:val="22"/>
          <w:szCs w:val="22"/>
        </w:rPr>
        <w:t xml:space="preserve">electricitate, gaze, telefonie, iluminat public);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Dotare cu mobilier urban si echipamente de supraveghere video.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Străzile de importanță secundară trebuie sa fie incluse in Planul Urbanistic Zonal (dacă există) al localității urbane unde se realizează investitia si aprobat de autoritatea publica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locală conform Legii nr. 350/2001 privind amenajarea teritoriului şi urbanismul, cu modificarile și completările ulterioare.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Proiectarea, sistematizarea şi crearea străzilor nemodernizate se fac în corelare cu Planul Urbanistic General al localităţii, pe baza studiului de dezvoltare şi organizare a traficului, întocmit pentru o perioadă de perspectiva de minimum 15 ani, (dacă există), cu respectarea normelor tehnice în vigoare.</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În accepțiunea prezentului ghid, străzile de importanță secundară </w:t>
      </w:r>
      <w:r>
        <w:rPr>
          <w:rFonts w:ascii="Trebuchet MS" w:eastAsiaTheme="minorHAnsi" w:hAnsi="Trebuchet MS" w:cs="Trebuchet MS"/>
          <w:lang w:val="ro-RO"/>
        </w:rPr>
        <w:t>se</w:t>
      </w:r>
      <w:r>
        <w:rPr>
          <w:rFonts w:ascii="Trebuchet MS" w:eastAsiaTheme="minorHAnsi" w:hAnsi="Trebuchet MS" w:cs="Trebuchet MS"/>
          <w:color w:val="000000"/>
          <w:lang w:val="ro-RO"/>
        </w:rPr>
        <w:t xml:space="preserve"> referă la: </w:t>
      </w:r>
    </w:p>
    <w:p>
      <w:pPr>
        <w:autoSpaceDE w:val="0"/>
        <w:autoSpaceDN w:val="0"/>
        <w:adjustRightInd w:val="0"/>
        <w:spacing w:after="27"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lastRenderedPageBreak/>
        <w:t xml:space="preserve"> străzi de categoria a III-a - colectoare, care preiau fluxurile de trafic din zonele funcţionale şi le dirijează spre străzile de legătură sau magistrale;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străzi de categoria a IV-a - de folosinţă locală, care asigură accesul la locuinţe şi pentru servicii curente sau ocazionale, în zonele cu trafic foarte redus.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NOTA: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Beneficiarul, ca membru GAL/entitate/persoană juridică va asigura accesul gratuit al populației la clădirile destinate utilizării publice/spațiile urbane amenajate/facilitățile destinate utilizării publice pentru activități sportive și recreaționale, care fac obiectul proiectului pe toata perioada de durabilitate a contractului.</w:t>
      </w:r>
    </w:p>
    <w:p>
      <w:pPr>
        <w:spacing w:line="240" w:lineRule="auto"/>
        <w:jc w:val="both"/>
        <w:rPr>
          <w:rFonts w:ascii="Trebuchet MS" w:hAnsi="Trebuchet MS"/>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În conformitate cu prevederile ORDONANŢĂ nr.43 din 28 august 1997 privind regimul juridic al drumurilor, art.9, străzile din localităţile urbane se clasifică în raport cu intensitatea traficului şi funcţiile pe care le îndeplinesc astfel: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a) străzi de categoria I - magistrale, care asigură preluarea fluxurilor majore ale oraşului pe direcţia drumului naţional ce traversează oraşul sau pe direcţia principală de legătură cu acest drum;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b) străzi de categoria a II-a - de legătură, care asigură circulaţia majoră între zonele funcţionale şi de locuit;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c) străzi de categoria a III-a - colectoare, care preiau fluxurile de trafic din zonele funcţionale şi le dirijează spre străzile de legătură sau magistrale;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 străzi de categoria a IV-a - de folosinţă locală, care asigură accesul la locuinţe şi pentru servicii curente sau ocazionale, în zonele cu trafic foarte redus.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În conformitate cu Normă tehnică din 27/01/1998 Publicat in Monitorul Oficial, Partea I nr. 138bis din 06/04/1998, intrare in vigoare:06/04/1998 privind proiectarea şi realizarea străzilor în localităţile urbane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Stradă de categoria a III-a - colectoare se refera la condiţii grele de desfăşurare a traseului străzii (teren accidentat, zone clădite etc.) si se poate reduce viteza de proiectare pe sectoare scurte pînă la 25 km/oră.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Stradă de categoria a IV-a - de deservire locală străzile pot fi prevăzute cu platforme de încrucişare şi bucle de întoarcere şi au de regulă un trotuar de 1,00 m b)transportul în comun este interzis. </w:t>
      </w:r>
    </w:p>
    <w:p>
      <w:pPr>
        <w:spacing w:line="240" w:lineRule="auto"/>
        <w:jc w:val="both"/>
        <w:rPr>
          <w:rFonts w:ascii="Trebuchet MS" w:hAnsi="Trebuchet MS"/>
          <w:lang w:val="ro-RO"/>
        </w:rPr>
      </w:pPr>
      <w:r>
        <w:rPr>
          <w:rFonts w:ascii="Trebuchet MS" w:eastAsiaTheme="minorHAnsi" w:hAnsi="Trebuchet MS" w:cs="Trebuchet MS"/>
          <w:color w:val="000000"/>
          <w:lang w:val="ro-RO"/>
        </w:rPr>
        <w:t xml:space="preserve">A se vedea si ORDIN al ministrului transporturilor nr. 49 din 27 ianuarie 1998 pentru aprobarea Normelor tehnice privind proiectarea si realizarea strazilor in localitatile urbane)  </w:t>
      </w:r>
    </w:p>
    <w:p>
      <w:pPr>
        <w:jc w:val="both"/>
        <w:rPr>
          <w:rFonts w:ascii="Trebuchet MS" w:hAnsi="Trebuchet MS"/>
          <w:sz w:val="20"/>
          <w:szCs w:val="20"/>
          <w:lang w:val="ro-RO"/>
        </w:rPr>
      </w:pPr>
      <w:r>
        <w:rPr>
          <w:rFonts w:ascii="Trebuchet MS" w:hAnsi="Trebuchet MS"/>
          <w:lang w:val="ro-RO"/>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rPr>
      </w:pPr>
      <w:bookmarkStart w:id="41" w:name="_Toc41298500"/>
      <w:bookmarkStart w:id="42" w:name="_Toc22832117"/>
      <w:bookmarkStart w:id="43" w:name="_Toc489006362"/>
      <w:r>
        <w:rPr>
          <w:rFonts w:ascii="Trebuchet MS" w:hAnsi="Trebuchet MS" w:cs="Arial"/>
          <w:b/>
          <w:sz w:val="28"/>
          <w:szCs w:val="28"/>
        </w:rPr>
        <w:lastRenderedPageBreak/>
        <w:t>CAPITOLUL 4 Pașii necesari accesării finanțării</w:t>
      </w:r>
      <w:bookmarkEnd w:id="41"/>
    </w:p>
    <w:bookmarkEnd w:id="42"/>
    <w:bookmarkEnd w:id="43"/>
    <w:p>
      <w:pPr>
        <w:spacing w:after="120" w:line="240" w:lineRule="auto"/>
        <w:jc w:val="both"/>
        <w:rPr>
          <w:rFonts w:ascii="Trebuchet MS" w:hAnsi="Trebuchet MS" w:cs="Calibri"/>
          <w:lang w:val="ro-RO"/>
        </w:rPr>
      </w:pPr>
    </w:p>
    <w:p>
      <w:pPr>
        <w:spacing w:after="120" w:line="240" w:lineRule="auto"/>
        <w:jc w:val="both"/>
        <w:rPr>
          <w:rFonts w:ascii="Trebuchet MS" w:hAnsi="Trebuchet MS" w:cs="Calibri"/>
          <w:lang w:val="ro-RO"/>
        </w:rPr>
      </w:pPr>
      <w:r>
        <w:rPr>
          <w:rFonts w:ascii="Trebuchet MS" w:hAnsi="Trebuchet MS" w:cs="Calibri"/>
          <w:lang w:val="ro-RO"/>
        </w:rPr>
        <w:t>În vederea accesării fondurilor alocate prin apelul de proiecte, proiectul trebuie să parcurgă etapele descrise în subsecțiunile de mai jos:</w:t>
      </w:r>
    </w:p>
    <w:p>
      <w:pPr>
        <w:spacing w:after="0" w:line="240" w:lineRule="auto"/>
        <w:jc w:val="both"/>
        <w:rPr>
          <w:rFonts w:ascii="Trebuchet MS" w:hAnsi="Trebuchet MS" w:cs="Calibri"/>
          <w:lang w:val="ro-RO"/>
        </w:rPr>
      </w:pPr>
    </w:p>
    <w:p>
      <w:pPr>
        <w:pStyle w:val="Heading2"/>
        <w:spacing w:before="0" w:line="240" w:lineRule="auto"/>
        <w:jc w:val="both"/>
        <w:rPr>
          <w:rFonts w:ascii="Trebuchet MS" w:hAnsi="Trebuchet MS"/>
          <w:i/>
          <w:noProof/>
          <w:color w:val="auto"/>
        </w:rPr>
      </w:pPr>
      <w:bookmarkStart w:id="44" w:name="_Toc41298501"/>
      <w:r>
        <w:rPr>
          <w:rFonts w:ascii="Trebuchet MS" w:hAnsi="Trebuchet MS"/>
          <w:i/>
          <w:noProof/>
          <w:color w:val="auto"/>
        </w:rPr>
        <w:t>Subcapitolul 4.1 Fișa de proiect și documentele anexă</w:t>
      </w:r>
      <w:bookmarkEnd w:id="44"/>
    </w:p>
    <w:p>
      <w:pPr>
        <w:spacing w:after="120" w:line="240" w:lineRule="auto"/>
        <w:jc w:val="both"/>
        <w:rPr>
          <w:rFonts w:ascii="Trebuchet MS" w:hAnsi="Trebuchet MS" w:cs="Calibri"/>
          <w:lang w:val="ro-RO"/>
        </w:rPr>
      </w:pPr>
    </w:p>
    <w:p>
      <w:pPr>
        <w:pStyle w:val="Normal1"/>
        <w:spacing w:after="120" w:line="240" w:lineRule="auto"/>
        <w:jc w:val="both"/>
        <w:outlineLvl w:val="1"/>
        <w:rPr>
          <w:rFonts w:ascii="Trebuchet MS" w:eastAsia="Trebuchet MS" w:hAnsi="Trebuchet MS"/>
          <w:b/>
          <w:color w:val="auto"/>
        </w:rPr>
      </w:pPr>
      <w:bookmarkStart w:id="45" w:name="_Toc41298502"/>
      <w:r>
        <w:rPr>
          <w:rFonts w:ascii="Trebuchet MS" w:eastAsia="Arial" w:hAnsi="Trebuchet MS"/>
          <w:b/>
          <w:color w:val="auto"/>
        </w:rPr>
        <w:t>PASUL 1 - DEPUNEREA FIȘEI DE PROIECT SI DOCUMENTELE ANEXA</w:t>
      </w:r>
      <w:bookmarkEnd w:id="45"/>
    </w:p>
    <w:p>
      <w:pPr>
        <w:spacing w:after="0" w:line="240" w:lineRule="auto"/>
        <w:jc w:val="both"/>
        <w:rPr>
          <w:rFonts w:ascii="Trebuchet MS" w:eastAsia="Trebuchet MS" w:hAnsi="Trebuchet MS"/>
          <w:b/>
        </w:rPr>
      </w:pPr>
    </w:p>
    <w:p>
      <w:pPr>
        <w:spacing w:after="0" w:line="240" w:lineRule="auto"/>
        <w:jc w:val="both"/>
        <w:rPr>
          <w:rFonts w:ascii="Trebuchet MS" w:eastAsia="Trebuchet MS" w:hAnsi="Trebuchet MS"/>
          <w:b/>
        </w:rPr>
      </w:pPr>
      <w:r>
        <w:rPr>
          <w:rFonts w:ascii="Trebuchet MS" w:eastAsia="Trebuchet MS" w:hAnsi="Trebuchet MS"/>
          <w:b/>
        </w:rPr>
        <w:t xml:space="preserve">Fișa de proiect </w:t>
      </w:r>
      <w:r>
        <w:rPr>
          <w:rFonts w:ascii="Trebuchet MS" w:eastAsia="Trebuchet MS" w:hAnsi="Trebuchet MS"/>
          <w:b/>
          <w:highlight w:val="white"/>
        </w:rPr>
        <w:t xml:space="preserve">(anexa 1 a prezentului ghid) </w:t>
      </w:r>
      <w:r>
        <w:rPr>
          <w:rFonts w:ascii="Trebuchet MS" w:eastAsia="Trebuchet MS" w:hAnsi="Trebuchet MS"/>
          <w:b/>
        </w:rPr>
        <w:t xml:space="preserve">poate fi depusă dupa cum urmeaza: </w:t>
      </w:r>
    </w:p>
    <w:p>
      <w:pPr>
        <w:spacing w:after="0" w:line="240" w:lineRule="auto"/>
        <w:jc w:val="both"/>
        <w:rPr>
          <w:rFonts w:ascii="Trebuchet MS" w:eastAsia="Trebuchet MS" w:hAnsi="Trebuchet MS"/>
          <w:b/>
        </w:rPr>
      </w:pPr>
    </w:p>
    <w:p>
      <w:pPr>
        <w:pStyle w:val="ListParagraph"/>
        <w:numPr>
          <w:ilvl w:val="0"/>
          <w:numId w:val="58"/>
        </w:numPr>
        <w:spacing w:after="0" w:line="240" w:lineRule="auto"/>
        <w:jc w:val="both"/>
        <w:rPr>
          <w:rFonts w:ascii="Trebuchet MS" w:hAnsi="Trebuchet MS" w:cs="Arial"/>
          <w:b/>
          <w:sz w:val="22"/>
          <w:szCs w:val="22"/>
        </w:rPr>
      </w:pPr>
      <w:r>
        <w:rPr>
          <w:rFonts w:ascii="Trebuchet MS" w:hAnsi="Trebuchet MS" w:cs="Arial"/>
          <w:b/>
          <w:sz w:val="22"/>
          <w:szCs w:val="22"/>
        </w:rPr>
        <w:t>Data lansării apelului de selecție:16.09.2020</w:t>
      </w:r>
    </w:p>
    <w:p>
      <w:pPr>
        <w:spacing w:after="0" w:line="240" w:lineRule="auto"/>
        <w:ind w:left="360"/>
        <w:jc w:val="both"/>
        <w:rPr>
          <w:rFonts w:ascii="Trebuchet MS" w:hAnsi="Trebuchet MS" w:cs="Arial"/>
          <w:b/>
        </w:rPr>
      </w:pPr>
    </w:p>
    <w:p>
      <w:pPr>
        <w:pStyle w:val="ListParagraph"/>
        <w:numPr>
          <w:ilvl w:val="0"/>
          <w:numId w:val="58"/>
        </w:numPr>
        <w:spacing w:after="0" w:line="240" w:lineRule="auto"/>
        <w:jc w:val="both"/>
        <w:rPr>
          <w:rFonts w:ascii="Trebuchet MS" w:hAnsi="Trebuchet MS" w:cs="Arial"/>
          <w:b/>
          <w:sz w:val="22"/>
          <w:szCs w:val="22"/>
        </w:rPr>
      </w:pPr>
      <w:r>
        <w:rPr>
          <w:rFonts w:ascii="Trebuchet MS" w:hAnsi="Trebuchet MS"/>
          <w:b/>
          <w:sz w:val="22"/>
          <w:szCs w:val="22"/>
        </w:rPr>
        <w:t>Data și ora de începere a depunerii de fise de proiecte – 17.09.2020 ora 11.00</w:t>
      </w:r>
    </w:p>
    <w:p>
      <w:pPr>
        <w:spacing w:after="0" w:line="240" w:lineRule="auto"/>
        <w:jc w:val="both"/>
        <w:rPr>
          <w:rFonts w:ascii="Trebuchet MS" w:hAnsi="Trebuchet MS" w:cs="Arial"/>
          <w:b/>
        </w:rPr>
      </w:pPr>
    </w:p>
    <w:p>
      <w:pPr>
        <w:numPr>
          <w:ilvl w:val="0"/>
          <w:numId w:val="58"/>
        </w:numPr>
        <w:shd w:val="clear" w:color="auto" w:fill="FFFFFF"/>
        <w:spacing w:after="0" w:line="240" w:lineRule="auto"/>
        <w:jc w:val="both"/>
        <w:rPr>
          <w:rFonts w:ascii="Trebuchet MS" w:hAnsi="Trebuchet MS" w:cs="Arial"/>
          <w:b/>
        </w:rPr>
      </w:pPr>
      <w:r>
        <w:rPr>
          <w:rFonts w:ascii="Trebuchet MS" w:hAnsi="Trebuchet MS" w:cs="Arial"/>
          <w:b/>
        </w:rPr>
        <w:t>Data limită de depunere a propunerilor de fise de proiecte: 2.11.2020</w:t>
      </w:r>
    </w:p>
    <w:p>
      <w:pPr>
        <w:shd w:val="clear" w:color="auto" w:fill="FFFFFF"/>
        <w:spacing w:after="0" w:line="240" w:lineRule="auto"/>
        <w:ind w:left="360"/>
        <w:jc w:val="both"/>
        <w:rPr>
          <w:rFonts w:ascii="Trebuchet MS" w:hAnsi="Trebuchet MS" w:cs="Arial"/>
          <w:b/>
        </w:rPr>
      </w:pPr>
    </w:p>
    <w:p>
      <w:pPr>
        <w:numPr>
          <w:ilvl w:val="0"/>
          <w:numId w:val="58"/>
        </w:numPr>
        <w:shd w:val="clear" w:color="auto" w:fill="FFFFFF"/>
        <w:spacing w:after="0" w:line="240" w:lineRule="auto"/>
        <w:jc w:val="both"/>
        <w:rPr>
          <w:rFonts w:ascii="Trebuchet MS" w:hAnsi="Trebuchet MS" w:cs="Arial"/>
          <w:b/>
        </w:rPr>
      </w:pPr>
      <w:r>
        <w:rPr>
          <w:rFonts w:ascii="Trebuchet MS" w:hAnsi="Trebuchet MS" w:cs="Arial"/>
          <w:b/>
        </w:rPr>
        <w:t>Data și ora de închidere a depunerii de fise de  proiecte – 2.11.2020</w:t>
      </w:r>
    </w:p>
    <w:p>
      <w:pPr>
        <w:numPr>
          <w:ilvl w:val="0"/>
          <w:numId w:val="58"/>
        </w:numPr>
        <w:shd w:val="clear" w:color="auto" w:fill="FFFFFF"/>
        <w:spacing w:after="0" w:line="240" w:lineRule="auto"/>
        <w:jc w:val="both"/>
        <w:rPr>
          <w:rFonts w:ascii="Trebuchet MS" w:hAnsi="Trebuchet MS" w:cs="Arial"/>
          <w:b/>
        </w:rPr>
      </w:pPr>
      <w:r>
        <w:rPr>
          <w:rFonts w:ascii="Trebuchet MS" w:hAnsi="Trebuchet MS" w:cs="Arial"/>
          <w:b/>
        </w:rPr>
        <w:t xml:space="preserve"> ora 18.00</w:t>
      </w:r>
    </w:p>
    <w:p>
      <w:pPr>
        <w:pStyle w:val="ListParagraph"/>
        <w:rPr>
          <w:rFonts w:ascii="Trebuchet MS" w:hAnsi="Trebuchet MS" w:cs="Arial"/>
          <w:b/>
          <w:color w:val="1F497D" w:themeColor="text2"/>
        </w:rPr>
      </w:pPr>
    </w:p>
    <w:p>
      <w:pPr>
        <w:shd w:val="clear" w:color="auto" w:fill="FFFFFF"/>
        <w:spacing w:after="0" w:line="240" w:lineRule="auto"/>
        <w:ind w:left="720"/>
        <w:jc w:val="both"/>
        <w:rPr>
          <w:rFonts w:ascii="Trebuchet MS" w:hAnsi="Trebuchet MS" w:cs="Arial"/>
          <w:b/>
          <w:color w:val="1F497D" w:themeColor="text2"/>
        </w:rPr>
      </w:pPr>
    </w:p>
    <w:p>
      <w:pPr>
        <w:pStyle w:val="Normal1"/>
        <w:spacing w:after="120" w:line="240" w:lineRule="auto"/>
        <w:jc w:val="both"/>
        <w:rPr>
          <w:rFonts w:ascii="Trebuchet MS" w:eastAsia="Trebuchet MS" w:hAnsi="Trebuchet MS"/>
          <w:b/>
          <w:color w:val="C0504D" w:themeColor="accent2"/>
        </w:rPr>
      </w:pPr>
      <w:r>
        <w:rPr>
          <w:rFonts w:ascii="Trebuchet MS" w:eastAsia="Trebuchet MS" w:hAnsi="Trebuchet MS"/>
        </w:rPr>
        <w:t xml:space="preserve">Fișa de proiect </w:t>
      </w:r>
      <w:r>
        <w:rPr>
          <w:rFonts w:ascii="Trebuchet MS" w:hAnsi="Trebuchet MS"/>
        </w:rPr>
        <w:t>cuprinde anexe, ce sunt prezentate mai jos, care sunt obligatorii.</w:t>
      </w:r>
    </w:p>
    <w:p>
      <w:pPr>
        <w:pStyle w:val="Normal1"/>
        <w:spacing w:after="120" w:line="240" w:lineRule="auto"/>
        <w:jc w:val="both"/>
        <w:rPr>
          <w:rFonts w:ascii="Trebuchet MS" w:eastAsia="Trebuchet MS" w:hAnsi="Trebuchet MS"/>
          <w:b/>
          <w:color w:val="C0504D" w:themeColor="accent2"/>
        </w:rPr>
      </w:pPr>
      <w:r>
        <w:rPr>
          <w:rFonts w:ascii="Trebuchet MS" w:hAnsi="Trebuchet MS"/>
        </w:rPr>
        <w:t>În cazul în care solicitantul consideră că poate explica o anumită situație și prin alte documente, acesta le poate anexa la Fișa de proiect, însă acest aspect nu scutește beneficiarul de a depune documentele obligatorii solicitate.</w:t>
      </w:r>
    </w:p>
    <w:p>
      <w:pPr>
        <w:pStyle w:val="Normal1"/>
        <w:spacing w:after="120" w:line="240" w:lineRule="auto"/>
        <w:jc w:val="both"/>
        <w:rPr>
          <w:rFonts w:ascii="Trebuchet MS" w:eastAsia="Trebuchet MS" w:hAnsi="Trebuchet MS"/>
          <w:b/>
          <w:color w:val="C0504D" w:themeColor="accent2"/>
        </w:rPr>
      </w:pPr>
      <w:r>
        <w:rPr>
          <w:rFonts w:ascii="Trebuchet MS" w:eastAsia="Trebuchet MS" w:hAnsi="Trebuchet MS"/>
          <w:bCs/>
          <w:color w:val="auto"/>
        </w:rPr>
        <w:t xml:space="preserve">Fișele de proiectele care se vor depune în cadrul apelului de proiecte vor fi selectate la nivel de </w:t>
      </w:r>
      <w:r>
        <w:rPr>
          <w:rFonts w:ascii="Trebuchet MS" w:eastAsia="Trebuchet MS" w:hAnsi="Trebuchet MS"/>
          <w:b/>
          <w:bCs/>
          <w:color w:val="auto"/>
        </w:rPr>
        <w:t>propunere de proiect</w:t>
      </w:r>
      <w:r>
        <w:rPr>
          <w:rFonts w:ascii="Trebuchet MS" w:eastAsia="Trebuchet MS" w:hAnsi="Trebuchet MS"/>
          <w:bCs/>
          <w:color w:val="auto"/>
        </w:rPr>
        <w:t xml:space="preserve"> de către </w:t>
      </w:r>
      <w:r>
        <w:rPr>
          <w:rFonts w:ascii="Trebuchet MS" w:hAnsi="Trebuchet MS"/>
          <w:bCs/>
        </w:rPr>
        <w:t xml:space="preserve">GAL Botosani pentru Viitor </w:t>
      </w:r>
      <w:r>
        <w:rPr>
          <w:rFonts w:ascii="Trebuchet MS" w:eastAsia="Trebuchet MS" w:hAnsi="Trebuchet MS"/>
          <w:bCs/>
          <w:color w:val="auto"/>
        </w:rPr>
        <w:t xml:space="preserve">cu respectarea prevederilor Procedurii de evaluare și selecție aprobată la nivelul </w:t>
      </w:r>
      <w:r>
        <w:rPr>
          <w:rFonts w:ascii="Trebuchet MS" w:hAnsi="Trebuchet MS"/>
          <w:bCs/>
        </w:rPr>
        <w:t xml:space="preserve">GAL Botosani pentru Viitor </w:t>
      </w:r>
      <w:r>
        <w:rPr>
          <w:rFonts w:ascii="Trebuchet MS" w:eastAsia="Trebuchet MS" w:hAnsi="Trebuchet MS"/>
          <w:color w:val="auto"/>
        </w:rPr>
        <w:t xml:space="preserve">disponibilă pe site-ul </w:t>
      </w:r>
      <w:hyperlink r:id="rId15" w:history="1">
        <w:r>
          <w:rPr>
            <w:rStyle w:val="Hyperlink"/>
            <w:rFonts w:ascii="Trebuchet MS" w:eastAsia="Trebuchet MS" w:hAnsi="Trebuchet MS"/>
          </w:rPr>
          <w:t>www.galbotosani.ro</w:t>
        </w:r>
      </w:hyperlink>
      <w:r>
        <w:rPr>
          <w:rFonts w:ascii="Trebuchet MS" w:eastAsia="Trebuchet MS" w:hAnsi="Trebuchet MS"/>
          <w:color w:val="auto"/>
        </w:rPr>
        <w:t xml:space="preserve">. </w:t>
      </w:r>
    </w:p>
    <w:p>
      <w:pPr>
        <w:pStyle w:val="Normal1"/>
        <w:spacing w:after="120" w:line="240" w:lineRule="auto"/>
        <w:jc w:val="both"/>
        <w:rPr>
          <w:rFonts w:ascii="Trebuchet MS" w:eastAsia="Trebuchet MS" w:hAnsi="Trebuchet MS"/>
          <w:b/>
          <w:color w:val="auto"/>
        </w:rPr>
      </w:pPr>
      <w:r>
        <w:rPr>
          <w:rFonts w:ascii="Trebuchet MS" w:eastAsia="Trebuchet MS" w:hAnsi="Trebuchet MS"/>
          <w:color w:val="auto"/>
        </w:rPr>
        <w:t xml:space="preserve">Se vor avea în vedere Grilele de verificare: Grila de verificare a etapei CAE( verificarea conformitatii administrative si a criteriilor minime de eligibilitate) si Grila de verificare ETF ( etapa tehnica si financiara), anexele 8 si 9 ale prezentului ghid. </w:t>
      </w:r>
    </w:p>
    <w:p>
      <w:pPr>
        <w:adjustRightInd w:val="0"/>
        <w:spacing w:after="0" w:line="240" w:lineRule="auto"/>
        <w:jc w:val="both"/>
        <w:outlineLvl w:val="1"/>
        <w:rPr>
          <w:rFonts w:ascii="Trebuchet MS" w:hAnsi="Trebuchet MS"/>
          <w:b/>
          <w:lang w:val="ro-RO" w:eastAsia="ro-RO"/>
        </w:rPr>
      </w:pPr>
      <w:bookmarkStart w:id="46" w:name="_Toc11877742"/>
    </w:p>
    <w:p>
      <w:pPr>
        <w:spacing w:after="0"/>
        <w:rPr>
          <w:rFonts w:ascii="Trebuchet MS" w:hAnsi="Trebuchet MS"/>
          <w:b/>
          <w:lang w:val="ro-RO" w:eastAsia="ro-RO"/>
        </w:rPr>
      </w:pPr>
      <w:r>
        <w:rPr>
          <w:rFonts w:ascii="Trebuchet MS" w:hAnsi="Trebuchet MS"/>
          <w:b/>
          <w:lang w:val="ro-RO" w:eastAsia="ro-RO"/>
        </w:rPr>
        <w:t>ÎNREGISTRAREA FIȘELOR DE PROIECTE (FP) DEPUSE DE BENEFICIARI</w:t>
      </w:r>
      <w:bookmarkEnd w:id="46"/>
    </w:p>
    <w:p>
      <w:pPr>
        <w:adjustRightInd w:val="0"/>
        <w:spacing w:line="240" w:lineRule="auto"/>
        <w:jc w:val="both"/>
        <w:rPr>
          <w:rFonts w:ascii="Trebuchet MS" w:hAnsi="Trebuchet MS"/>
          <w:lang w:val="ro-RO" w:eastAsia="ro-RO"/>
        </w:rPr>
      </w:pPr>
    </w:p>
    <w:p>
      <w:pPr>
        <w:adjustRightInd w:val="0"/>
        <w:spacing w:line="240" w:lineRule="auto"/>
        <w:jc w:val="both"/>
        <w:rPr>
          <w:rFonts w:ascii="Trebuchet MS" w:hAnsi="Trebuchet MS"/>
          <w:lang w:val="ro-RO" w:eastAsia="ro-RO"/>
        </w:rPr>
      </w:pPr>
      <w:r>
        <w:rPr>
          <w:rFonts w:ascii="Trebuchet MS" w:hAnsi="Trebuchet MS"/>
          <w:lang w:val="ro-RO" w:eastAsia="ro-RO"/>
        </w:rPr>
        <w:t>Pe baza informațiilor din Ghidul Solicitantului  POR  și din Apelul de Selecție, solicitantul întocmește Fișa/Fișele Propunere de Proiect POR  si Anexele dupa caz (Anexa 1  ).</w:t>
      </w:r>
    </w:p>
    <w:p>
      <w:pPr>
        <w:adjustRightInd w:val="0"/>
        <w:spacing w:line="240" w:lineRule="auto"/>
        <w:jc w:val="both"/>
        <w:rPr>
          <w:rFonts w:ascii="Trebuchet MS" w:hAnsi="Trebuchet MS"/>
          <w:lang w:val="ro-RO" w:eastAsia="ro-RO"/>
        </w:rPr>
      </w:pPr>
      <w:r>
        <w:rPr>
          <w:rFonts w:ascii="Trebuchet MS" w:hAnsi="Trebuchet MS"/>
          <w:lang w:val="ro-RO" w:eastAsia="ro-RO"/>
        </w:rPr>
        <w:lastRenderedPageBreak/>
        <w:t xml:space="preserve">Potențialul beneficiar/ Solicitantul, depune Fișa de proiect în două (2) exemplare (un original și o copie) în format fizic, precum și două (2) exemplare copie pe suport electronic (CD, DVD, stick),intr-un plic sigilat, insotit de o adresa de inaintare realizata in doua exemplare , la sediul GAL Botoșani pentru Viitor, str. Poștei nr.9, Incubatorul de Afaceri, cam 214. </w:t>
      </w:r>
    </w:p>
    <w:p>
      <w:pPr>
        <w:adjustRightInd w:val="0"/>
        <w:spacing w:line="240" w:lineRule="auto"/>
        <w:jc w:val="both"/>
        <w:rPr>
          <w:rFonts w:ascii="Trebuchet MS" w:hAnsi="Trebuchet MS"/>
          <w:lang w:val="ro-RO" w:eastAsia="ro-RO"/>
        </w:rPr>
      </w:pPr>
      <w:r>
        <w:rPr>
          <w:rFonts w:ascii="Trebuchet MS" w:hAnsi="Trebuchet MS"/>
          <w:lang w:val="ro-RO" w:eastAsia="ro-RO"/>
        </w:rPr>
        <w:t>Fiecare exemplar va conține formularul Fișa de Propunere de Proiect POR corect completata, Anexele , după caz.</w:t>
      </w:r>
    </w:p>
    <w:p>
      <w:pPr>
        <w:adjustRightInd w:val="0"/>
        <w:spacing w:line="240" w:lineRule="auto"/>
        <w:jc w:val="both"/>
        <w:rPr>
          <w:rFonts w:ascii="Trebuchet MS" w:hAnsi="Trebuchet MS"/>
          <w:lang w:val="ro-RO" w:eastAsia="ro-RO"/>
        </w:rPr>
      </w:pPr>
      <w:r>
        <w:rPr>
          <w:rFonts w:ascii="Trebuchet MS" w:hAnsi="Trebuchet MS"/>
          <w:lang w:val="ro-RO" w:eastAsia="ro-RO"/>
        </w:rPr>
        <w:t>GAL Botoșani pentru Viitor, înregistrează Adresa de inaintare si documentele aferente ( Fișa de Propunere de Proiect POR si Anexele ) în Registrul Intrare – Ieșire și solicitantul/beneficiarul primește dovada depunerii dosarului, respectiv una din adresele de inaintare pe care se va scrie, Antetul GAL Botosani pentru Viitor , data si numarul din Registrul de intrare Iesire.</w:t>
      </w:r>
    </w:p>
    <w:p>
      <w:pPr>
        <w:adjustRightInd w:val="0"/>
        <w:spacing w:line="240" w:lineRule="auto"/>
        <w:jc w:val="both"/>
        <w:rPr>
          <w:rFonts w:ascii="Trebuchet MS" w:hAnsi="Trebuchet MS"/>
          <w:lang w:val="ro-RO" w:eastAsia="ro-RO"/>
        </w:rPr>
      </w:pPr>
      <w:r>
        <w:rPr>
          <w:rFonts w:ascii="Trebuchet MS" w:hAnsi="Trebuchet MS"/>
          <w:lang w:val="ro-RO" w:eastAsia="ro-RO"/>
        </w:rPr>
        <w:t>După finalizarea apelului curent de selecție evaluatorii GAL vor centraliza cererile depuse pe categorii de beneficiari.</w:t>
      </w:r>
    </w:p>
    <w:p>
      <w:pPr>
        <w:adjustRightInd w:val="0"/>
        <w:spacing w:line="240" w:lineRule="auto"/>
        <w:jc w:val="both"/>
        <w:rPr>
          <w:rFonts w:ascii="Trebuchet MS" w:hAnsi="Trebuchet MS"/>
          <w:lang w:val="ro-RO" w:eastAsia="ro-RO"/>
        </w:rPr>
      </w:pPr>
      <w:r>
        <w:rPr>
          <w:rFonts w:ascii="Trebuchet MS" w:hAnsi="Trebuchet MS"/>
          <w:color w:val="000000" w:themeColor="text1"/>
          <w:lang w:val="ro-RO" w:eastAsia="ro-RO"/>
        </w:rPr>
        <w:t>La demararea procesului de selecție, GAL Botoșani pentru Viitor, va invita un reprezentant alI ADR, acesta având calitatea de observator.</w:t>
      </w:r>
    </w:p>
    <w:p>
      <w:pPr>
        <w:adjustRightInd w:val="0"/>
        <w:spacing w:line="240" w:lineRule="auto"/>
        <w:jc w:val="both"/>
        <w:rPr>
          <w:rFonts w:ascii="Trebuchet MS" w:hAnsi="Trebuchet MS"/>
          <w:lang w:val="ro-RO" w:eastAsia="ro-RO"/>
        </w:rPr>
      </w:pPr>
      <w:r>
        <w:rPr>
          <w:rFonts w:ascii="Trebuchet MS" w:hAnsi="Trebuchet MS"/>
          <w:color w:val="000000" w:themeColor="text1"/>
          <w:lang w:val="ro-RO" w:eastAsia="ro-RO"/>
        </w:rPr>
        <w:t>Managerul GAL Botoșani pentru Viitor, va comunica</w:t>
      </w:r>
      <w:r>
        <w:rPr>
          <w:rFonts w:ascii="Trebuchet MS" w:hAnsi="Trebuchet MS"/>
          <w:lang w:val="ro-RO" w:eastAsia="ro-RO"/>
        </w:rPr>
        <w:t xml:space="preserve"> ADR </w:t>
      </w:r>
      <w:r>
        <w:rPr>
          <w:rFonts w:ascii="Trebuchet MS" w:hAnsi="Trebuchet MS"/>
          <w:color w:val="000000" w:themeColor="text1"/>
          <w:lang w:val="ro-RO" w:eastAsia="ro-RO"/>
        </w:rPr>
        <w:t>înainte cu 5 zile lucrătoare data de începere a sesiunii de selecție a propunerilor de proiecte, date specifice referitoare la apelul/apelurile respective, locația și adresa.</w:t>
      </w:r>
    </w:p>
    <w:p>
      <w:pPr>
        <w:adjustRightInd w:val="0"/>
        <w:spacing w:line="240" w:lineRule="auto"/>
        <w:jc w:val="both"/>
        <w:rPr>
          <w:rFonts w:ascii="Trebuchet MS" w:hAnsi="Trebuchet MS"/>
          <w:lang w:val="ro-RO" w:eastAsia="ro-RO"/>
        </w:rPr>
      </w:pPr>
      <w:r>
        <w:rPr>
          <w:rFonts w:ascii="Trebuchet MS" w:hAnsi="Trebuchet MS"/>
          <w:lang w:val="ro-RO" w:eastAsia="ro-RO"/>
        </w:rPr>
        <w:t>In conformitate cu prevederile instructiunii comune MFE nr. 99534/13.12,2019 si MLPDA nr. 174864/16.12.2019, prezenta reprezentantilor  ADR, ce au calitatea de observatori in cadrul procesului de selectie, este obligatorie la momentul aprobarii Raportului de selectie Final iar invitarea de catre GAL si participarea acestora la Raportul intermediar este optionala.</w:t>
      </w:r>
    </w:p>
    <w:p>
      <w:pPr>
        <w:adjustRightInd w:val="0"/>
        <w:spacing w:line="240" w:lineRule="auto"/>
        <w:jc w:val="both"/>
        <w:rPr>
          <w:rFonts w:ascii="Trebuchet MS" w:hAnsi="Trebuchet MS"/>
          <w:lang w:val="ro-RO" w:eastAsia="ro-RO"/>
        </w:rPr>
      </w:pPr>
      <w:r>
        <w:rPr>
          <w:rFonts w:ascii="Trebuchet MS" w:hAnsi="Trebuchet MS"/>
          <w:color w:val="000000" w:themeColor="text1"/>
          <w:lang w:val="ro-RO" w:eastAsia="ro-RO"/>
        </w:rPr>
        <w:t xml:space="preserve">Reprezentanții ADR se vor prezenta la sesiunea de selecție și vor întocmi un Raport de observator, în care vor menționa dacă au fost respectate: criteriile minime de eligibilitate POR, procedura de selecție și punctajul aferent, prevederile privind conflictul de interes, precum și orice alte probleme/aspecte apărute pe timpul selecției. Raportul de observator va fi atașat la </w:t>
      </w:r>
      <w:r>
        <w:rPr>
          <w:rFonts w:ascii="Trebuchet MS" w:hAnsi="Trebuchet MS"/>
          <w:i/>
          <w:color w:val="000000" w:themeColor="text1"/>
          <w:lang w:val="ro-RO" w:eastAsia="ro-RO"/>
        </w:rPr>
        <w:t>Raportul de selecție</w:t>
      </w:r>
      <w:r>
        <w:rPr>
          <w:rFonts w:ascii="Trebuchet MS" w:hAnsi="Trebuchet MS"/>
          <w:color w:val="000000" w:themeColor="text1"/>
          <w:lang w:val="ro-RO" w:eastAsia="ro-RO"/>
        </w:rPr>
        <w:t xml:space="preserve"> elaborat de GAL.</w:t>
      </w:r>
    </w:p>
    <w:p>
      <w:pPr>
        <w:pStyle w:val="Normal1"/>
        <w:spacing w:after="120" w:line="240" w:lineRule="auto"/>
        <w:jc w:val="both"/>
        <w:rPr>
          <w:rFonts w:ascii="Trebuchet MS" w:hAnsi="Trebuchet MS"/>
          <w:b/>
          <w:u w:val="single"/>
        </w:rPr>
      </w:pPr>
      <w:r>
        <w:rPr>
          <w:rFonts w:ascii="Trebuchet MS" w:hAnsi="Trebuchet MS"/>
          <w:b/>
          <w:u w:val="single"/>
        </w:rPr>
        <w:t xml:space="preserve">Documentele anexate  </w:t>
      </w:r>
      <w:r>
        <w:rPr>
          <w:rFonts w:ascii="Trebuchet MS" w:eastAsia="Trebuchet MS" w:hAnsi="Trebuchet MS"/>
          <w:b/>
          <w:color w:val="auto"/>
          <w:u w:val="single"/>
        </w:rPr>
        <w:t>Fișei de proiect:</w:t>
      </w:r>
    </w:p>
    <w:p>
      <w:pPr>
        <w:spacing w:after="0" w:line="240" w:lineRule="auto"/>
        <w:jc w:val="both"/>
        <w:rPr>
          <w:rFonts w:ascii="Trebuchet MS" w:hAnsi="Trebuchet MS"/>
          <w:bCs/>
          <w:lang w:val="es-ES"/>
        </w:rPr>
      </w:pPr>
      <w:r>
        <w:rPr>
          <w:rFonts w:ascii="Trebuchet MS" w:hAnsi="Trebuchet MS"/>
          <w:bCs/>
          <w:lang w:val="es-ES"/>
        </w:rPr>
        <w:t>Fișa de proiect este compusă din:</w:t>
      </w:r>
    </w:p>
    <w:p>
      <w:pPr>
        <w:numPr>
          <w:ilvl w:val="0"/>
          <w:numId w:val="38"/>
        </w:numPr>
        <w:spacing w:after="0" w:line="240" w:lineRule="auto"/>
        <w:jc w:val="both"/>
        <w:rPr>
          <w:rFonts w:ascii="Trebuchet MS" w:hAnsi="Trebuchet MS"/>
          <w:lang w:val="es-ES"/>
        </w:rPr>
      </w:pPr>
      <w:r>
        <w:rPr>
          <w:rFonts w:ascii="Trebuchet MS" w:hAnsi="Trebuchet MS"/>
          <w:b/>
          <w:lang w:val="es-ES"/>
        </w:rPr>
        <w:t xml:space="preserve">Formularul FIȘEI DE PROIECT </w:t>
      </w:r>
      <w:r>
        <w:rPr>
          <w:rFonts w:ascii="Trebuchet MS" w:hAnsi="Trebuchet MS"/>
          <w:lang w:val="es-ES"/>
        </w:rPr>
        <w:t>care se completează exclusiv in format electronic, fiecaresecțiuneîn parte.</w:t>
      </w:r>
    </w:p>
    <w:p>
      <w:pPr>
        <w:numPr>
          <w:ilvl w:val="0"/>
          <w:numId w:val="38"/>
        </w:numPr>
        <w:spacing w:after="0" w:line="240" w:lineRule="auto"/>
        <w:jc w:val="both"/>
        <w:rPr>
          <w:rFonts w:ascii="Trebuchet MS" w:hAnsi="Trebuchet MS"/>
          <w:lang w:val="fr-FR"/>
        </w:rPr>
      </w:pPr>
      <w:r>
        <w:rPr>
          <w:rFonts w:ascii="Trebuchet MS" w:hAnsi="Trebuchet MS"/>
          <w:b/>
          <w:lang w:val="fr-FR"/>
        </w:rPr>
        <w:t xml:space="preserve">Anexele </w:t>
      </w:r>
      <w:r>
        <w:rPr>
          <w:rFonts w:ascii="Trebuchet MS" w:hAnsi="Trebuchet MS"/>
          <w:lang w:val="fr-FR"/>
        </w:rPr>
        <w:t>la formularulfișei de proiect.</w:t>
      </w:r>
    </w:p>
    <w:p>
      <w:pPr>
        <w:spacing w:after="0" w:line="240" w:lineRule="auto"/>
        <w:ind w:firstLine="720"/>
        <w:jc w:val="both"/>
        <w:rPr>
          <w:rFonts w:ascii="Trebuchet MS" w:hAnsi="Trebuchet MS"/>
          <w:lang w:val="ro-RO"/>
        </w:rPr>
      </w:pPr>
      <w:r>
        <w:rPr>
          <w:rFonts w:ascii="Trebuchet MS" w:hAnsi="Trebuchet MS"/>
          <w:lang w:val="ro-RO"/>
        </w:rPr>
        <w:t>Anexele prezentate mai jos sunt obligatorii de depus la depunerea fișei de proiect:</w:t>
      </w:r>
    </w:p>
    <w:p>
      <w:pPr>
        <w:spacing w:after="0" w:line="240" w:lineRule="auto"/>
        <w:ind w:firstLine="720"/>
        <w:jc w:val="both"/>
        <w:rPr>
          <w:rFonts w:ascii="Trebuchet MS" w:hAnsi="Trebuchet MS"/>
          <w:bCs/>
          <w:u w:val="single"/>
          <w:lang w:val="ro-RO"/>
        </w:rPr>
      </w:pPr>
    </w:p>
    <w:p>
      <w:pPr>
        <w:spacing w:after="0" w:line="240" w:lineRule="auto"/>
        <w:jc w:val="both"/>
        <w:rPr>
          <w:rFonts w:ascii="Trebuchet MS" w:hAnsi="Trebuchet MS"/>
          <w:b/>
          <w:bCs/>
          <w:lang w:val="ro-RO"/>
        </w:rPr>
      </w:pPr>
      <w:r>
        <w:rPr>
          <w:rFonts w:ascii="Trebuchet MS" w:hAnsi="Trebuchet MS"/>
          <w:b/>
          <w:bCs/>
          <w:lang w:val="ro-RO"/>
        </w:rPr>
        <w:t>I. Documente statutare ale solicitantului</w:t>
      </w:r>
    </w:p>
    <w:p>
      <w:pPr>
        <w:autoSpaceDE w:val="0"/>
        <w:autoSpaceDN w:val="0"/>
        <w:adjustRightInd w:val="0"/>
        <w:spacing w:after="0" w:line="240" w:lineRule="auto"/>
        <w:jc w:val="both"/>
        <w:rPr>
          <w:rFonts w:ascii="Trebuchet MS" w:eastAsiaTheme="minorHAnsi" w:hAnsi="Trebuchet MS" w:cs="Trebuchet MS"/>
          <w:lang w:val="ro-RO"/>
        </w:rPr>
      </w:pPr>
    </w:p>
    <w:p>
      <w:pPr>
        <w:pStyle w:val="ListParagraph"/>
        <w:numPr>
          <w:ilvl w:val="0"/>
          <w:numId w:val="55"/>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UAT - Hotărârea de constituire a consiliului local al solicitantului </w:t>
      </w:r>
    </w:p>
    <w:p>
      <w:pPr>
        <w:pStyle w:val="ListParagraph"/>
        <w:numPr>
          <w:ilvl w:val="0"/>
          <w:numId w:val="55"/>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lastRenderedPageBreak/>
        <w:t xml:space="preserve"> Hotărârea judecătorească de validare a mandatului primarului (sau orice alte documente din care să rezulte calitatea de reprezentant legal, pentru situații particulare), </w:t>
      </w:r>
    </w:p>
    <w:p>
      <w:pPr>
        <w:pStyle w:val="ListParagraph"/>
        <w:numPr>
          <w:ilvl w:val="0"/>
          <w:numId w:val="55"/>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înfiinţare a serviciilor publice de asistenţă socială la nivel judeţean sau local, precum şi în cazul parteneriatelor, după caz; </w:t>
      </w:r>
    </w:p>
    <w:p>
      <w:pPr>
        <w:pStyle w:val="ListParagraph"/>
        <w:numPr>
          <w:ilvl w:val="0"/>
          <w:numId w:val="55"/>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înfiinţare a compartimentului de asistenţă socială; </w:t>
      </w:r>
    </w:p>
    <w:p>
      <w:pPr>
        <w:pStyle w:val="ListParagraph"/>
        <w:numPr>
          <w:ilvl w:val="0"/>
          <w:numId w:val="55"/>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Hotarare de infiintare a unui serviciu social la nivel de institutie publica locala, dupa caz; </w:t>
      </w:r>
    </w:p>
    <w:p>
      <w:pPr>
        <w:pStyle w:val="ListParagraph"/>
        <w:numPr>
          <w:ilvl w:val="0"/>
          <w:numId w:val="55"/>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Act constitutiv actualizat; </w:t>
      </w:r>
    </w:p>
    <w:p>
      <w:pPr>
        <w:pStyle w:val="ListParagraph"/>
        <w:numPr>
          <w:ilvl w:val="0"/>
          <w:numId w:val="55"/>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Statut; </w:t>
      </w:r>
    </w:p>
    <w:p>
      <w:pPr>
        <w:pStyle w:val="ListParagraph"/>
        <w:numPr>
          <w:ilvl w:val="0"/>
          <w:numId w:val="5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Certificatul de înscriere în Registrul asociaţiilor şi fundaţiilor; </w:t>
      </w:r>
    </w:p>
    <w:p>
      <w:pPr>
        <w:pStyle w:val="ListParagraph"/>
        <w:numPr>
          <w:ilvl w:val="0"/>
          <w:numId w:val="5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judecătorească de înfiinţare, după caz; </w:t>
      </w:r>
    </w:p>
    <w:p>
      <w:pPr>
        <w:pStyle w:val="ListParagraph"/>
        <w:numPr>
          <w:ilvl w:val="0"/>
          <w:numId w:val="5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Documente pentru unităţile de cult: Statutul sau codul canonic şi actul constitutiv; Documentul de numire sau documentul de constatare a alegerii reprezentantului legal, conform reglementărilor specifice fiecărui cult recunoscut în România. </w:t>
      </w:r>
    </w:p>
    <w:p>
      <w:pPr>
        <w:pStyle w:val="ListParagraph"/>
        <w:numPr>
          <w:ilvl w:val="0"/>
          <w:numId w:val="5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Hotărâre/decizie/alt act administrativ de numire a conducătorului instituției publice locale/entității private; </w:t>
      </w:r>
    </w:p>
    <w:p>
      <w:pPr>
        <w:pStyle w:val="ListParagraph"/>
        <w:numPr>
          <w:ilvl w:val="0"/>
          <w:numId w:val="56"/>
        </w:numPr>
        <w:autoSpaceDE w:val="0"/>
        <w:autoSpaceDN w:val="0"/>
        <w:adjustRightInd w:val="0"/>
        <w:spacing w:after="0" w:line="240" w:lineRule="auto"/>
        <w:jc w:val="both"/>
        <w:rPr>
          <w:rFonts w:ascii="Trebuchet MS" w:eastAsiaTheme="minorHAnsi" w:hAnsi="Trebuchet MS" w:cs="Trebuchet MS"/>
          <w:sz w:val="22"/>
          <w:szCs w:val="22"/>
          <w:lang w:val="ro-RO"/>
        </w:rPr>
      </w:pPr>
      <w:r>
        <w:rPr>
          <w:rFonts w:ascii="Trebuchet MS" w:eastAsiaTheme="minorHAnsi" w:hAnsi="Trebuchet MS" w:cs="Trebuchet MS"/>
          <w:b/>
          <w:bCs/>
          <w:sz w:val="22"/>
          <w:szCs w:val="22"/>
          <w:lang w:val="ro-RO"/>
        </w:rPr>
        <w:t xml:space="preserve">Acordul de parteneriat - </w:t>
      </w:r>
      <w:r>
        <w:rPr>
          <w:rFonts w:ascii="Trebuchet MS" w:eastAsiaTheme="minorHAnsi" w:hAnsi="Trebuchet MS" w:cs="Trebuchet MS"/>
          <w:sz w:val="22"/>
          <w:szCs w:val="22"/>
          <w:lang w:val="ro-RO"/>
        </w:rPr>
        <w:t xml:space="preserve">dacă este cazul, însoțit de Hotărârile de aprobare a proiectului a fiecărui partener și de dovada selectării transparente a partenerului. Acordul de parteneriat va conține cel puțin informațiile obligatorii stipulate de art 34 alin 4 din Normele metodologice la OUG 40/2015 privind gestionarea financiară a fondurilor europene pentru perioada de programare 2014-2020. </w:t>
      </w:r>
    </w:p>
    <w:p>
      <w:pPr>
        <w:spacing w:after="0" w:line="240" w:lineRule="auto"/>
        <w:jc w:val="both"/>
        <w:rPr>
          <w:rFonts w:ascii="Trebuchet MS" w:hAnsi="Trebuchet MS"/>
          <w:color w:val="1F497D" w:themeColor="text2"/>
          <w:lang w:val="ro-RO"/>
        </w:rPr>
      </w:pPr>
    </w:p>
    <w:p>
      <w:pPr>
        <w:spacing w:after="0" w:line="240" w:lineRule="auto"/>
        <w:jc w:val="both"/>
        <w:rPr>
          <w:rFonts w:ascii="Trebuchet MS" w:hAnsi="Trebuchet MS"/>
          <w:b/>
          <w:bCs/>
          <w:lang w:val="ro-RO"/>
        </w:rPr>
      </w:pPr>
      <w:r>
        <w:rPr>
          <w:rFonts w:ascii="Trebuchet MS" w:hAnsi="Trebuchet MS"/>
          <w:b/>
          <w:bCs/>
          <w:lang w:val="ro-RO"/>
        </w:rPr>
        <w:t>Documente pentru identificarea reprezentantului legal al solicitantului</w:t>
      </w:r>
    </w:p>
    <w:p>
      <w:pPr>
        <w:spacing w:after="0" w:line="240" w:lineRule="auto"/>
        <w:ind w:firstLine="720"/>
        <w:jc w:val="both"/>
        <w:rPr>
          <w:rFonts w:ascii="Trebuchet MS" w:hAnsi="Trebuchet MS"/>
          <w:lang w:val="ro-RO"/>
        </w:rPr>
      </w:pPr>
      <w:r>
        <w:rPr>
          <w:rFonts w:ascii="Trebuchet MS" w:hAnsi="Trebuchet MS"/>
          <w:lang w:val="ro-RO"/>
        </w:rPr>
        <w:t>Pentru reprezentantul legal al solicitantului/liderul parteneriatului se va anexa în mod obligatoriu la fișa de proiect o copie a unui document de identificare.</w:t>
      </w:r>
    </w:p>
    <w:p>
      <w:pPr>
        <w:autoSpaceDE w:val="0"/>
        <w:autoSpaceDN w:val="0"/>
        <w:adjustRightInd w:val="0"/>
        <w:spacing w:after="0" w:line="240" w:lineRule="auto"/>
        <w:rPr>
          <w:rFonts w:ascii="Trebuchet MS" w:eastAsiaTheme="minorHAnsi" w:hAnsi="Trebuchet MS" w:cs="Trebuchet MS"/>
          <w:lang w:val="ro-RO"/>
        </w:rPr>
      </w:pPr>
    </w:p>
    <w:p>
      <w:pPr>
        <w:autoSpaceDE w:val="0"/>
        <w:autoSpaceDN w:val="0"/>
        <w:adjustRightInd w:val="0"/>
        <w:spacing w:after="0" w:line="240" w:lineRule="auto"/>
        <w:rPr>
          <w:rFonts w:ascii="Trebuchet MS" w:eastAsiaTheme="minorHAnsi" w:hAnsi="Trebuchet MS" w:cs="Trebuchet MS"/>
          <w:b/>
          <w:lang w:val="ro-RO"/>
        </w:rPr>
      </w:pPr>
      <w:r>
        <w:rPr>
          <w:rFonts w:ascii="Trebuchet MS" w:eastAsiaTheme="minorHAnsi" w:hAnsi="Trebuchet MS" w:cs="Trebuchet MS"/>
          <w:b/>
          <w:lang w:val="ro-RO"/>
        </w:rPr>
        <w:t xml:space="preserve">II. Acreditări </w:t>
      </w:r>
    </w:p>
    <w:p>
      <w:pPr>
        <w:spacing w:after="0" w:line="240" w:lineRule="auto"/>
        <w:ind w:firstLine="720"/>
        <w:jc w:val="both"/>
        <w:rPr>
          <w:rFonts w:ascii="Trebuchet MS" w:hAnsi="Trebuchet MS"/>
          <w:lang w:val="ro-RO"/>
        </w:rPr>
      </w:pPr>
      <w:r>
        <w:rPr>
          <w:rFonts w:ascii="Trebuchet MS" w:eastAsiaTheme="minorHAnsi" w:hAnsi="Trebuchet MS" w:cs="Trebuchet MS"/>
          <w:lang w:val="ro-RO"/>
        </w:rPr>
        <w:t>Certificatul de acreditare al solicitantului/unui membru al parteneriatului, eliberat în baza prevederilor Legii nr. 197/2012 privind asigurarea calităţii în domeniul serviciilor sociale, cu modificările şi completările ulterioare, valabil la momentul depunerii fisei  de finanțare.</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III.Declarație privind neductibilitatea TVA</w:t>
      </w:r>
    </w:p>
    <w:p>
      <w:pPr>
        <w:spacing w:after="0" w:line="240" w:lineRule="auto"/>
        <w:ind w:firstLine="720"/>
        <w:jc w:val="both"/>
        <w:rPr>
          <w:rFonts w:ascii="Trebuchet MS" w:hAnsi="Trebuchet MS"/>
          <w:lang w:val="ro-RO"/>
        </w:rPr>
      </w:pPr>
      <w:r>
        <w:rPr>
          <w:rFonts w:ascii="Trebuchet MS" w:hAnsi="Trebuchet MS"/>
          <w:lang w:val="ro-RO"/>
        </w:rPr>
        <w:t>Se va utiliza modelul de declaraţie anexat la prezentul ghid, care se va actualiza la momentul elaborării cererii de finanțare/contractării, dacă este cazul.</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IV. Declarație de eligibilitate</w:t>
      </w:r>
    </w:p>
    <w:p>
      <w:pPr>
        <w:spacing w:after="0" w:line="240" w:lineRule="auto"/>
        <w:jc w:val="both"/>
        <w:rPr>
          <w:rFonts w:ascii="Trebuchet MS" w:hAnsi="Trebuchet MS"/>
          <w:lang w:val="ro-RO"/>
        </w:rPr>
      </w:pPr>
      <w:r>
        <w:rPr>
          <w:rFonts w:ascii="Trebuchet MS" w:hAnsi="Trebuchet MS"/>
          <w:lang w:val="ro-RO"/>
        </w:rPr>
        <w:tab/>
        <w:t>Se va completat conform Anexei – Declarația de eligibilitate.</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 xml:space="preserve">V. Declarația de angajament </w:t>
      </w:r>
    </w:p>
    <w:p>
      <w:pPr>
        <w:spacing w:after="0" w:line="240" w:lineRule="auto"/>
        <w:jc w:val="both"/>
        <w:rPr>
          <w:rFonts w:ascii="Trebuchet MS" w:hAnsi="Trebuchet MS"/>
          <w:lang w:val="ro-RO"/>
        </w:rPr>
      </w:pPr>
      <w:r>
        <w:rPr>
          <w:rFonts w:ascii="Trebuchet MS" w:hAnsi="Trebuchet MS"/>
          <w:lang w:val="ro-RO"/>
        </w:rPr>
        <w:lastRenderedPageBreak/>
        <w:tab/>
        <w:t>Se va utiliza modelul de declaraţie de angajament anexat la prezentul ghid, care se va actualiza la momentul elaborării cererii de finanțare/contractării.</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VI.Documente de proprietate</w:t>
      </w:r>
    </w:p>
    <w:p>
      <w:pPr>
        <w:spacing w:after="0" w:line="240" w:lineRule="auto"/>
        <w:jc w:val="both"/>
        <w:rPr>
          <w:rFonts w:ascii="Trebuchet MS" w:hAnsi="Trebuchet MS"/>
          <w:lang w:val="ro-RO"/>
        </w:rPr>
      </w:pPr>
      <w:r>
        <w:rPr>
          <w:rFonts w:ascii="Trebuchet MS" w:hAnsi="Trebuchet MS"/>
          <w:lang w:val="ro-RO"/>
        </w:rPr>
        <w:tab/>
        <w:t xml:space="preserve">Solicitanții trebuie să prezinte documentele de mai jos, în termenele maxime specificate, cu privire la drepturile aferente obiectivelor de investiție propuse în cadrul proiectului: </w:t>
      </w:r>
    </w:p>
    <w:p>
      <w:pPr>
        <w:spacing w:after="0" w:line="240" w:lineRule="auto"/>
        <w:jc w:val="both"/>
        <w:rPr>
          <w:rFonts w:ascii="Trebuchet MS" w:hAnsi="Trebuchet MS"/>
          <w:b/>
          <w:color w:val="1F497D" w:themeColor="text2"/>
          <w:lang w:val="ro-RO"/>
        </w:rPr>
      </w:pPr>
    </w:p>
    <w:p>
      <w:pPr>
        <w:spacing w:after="0" w:line="240" w:lineRule="auto"/>
        <w:jc w:val="both"/>
        <w:rPr>
          <w:rFonts w:ascii="Trebuchet MS" w:hAnsi="Trebuchet MS"/>
          <w:b/>
          <w:lang w:val="ro-RO"/>
        </w:rPr>
      </w:pPr>
      <w:r>
        <w:rPr>
          <w:rFonts w:ascii="Trebuchet MS" w:hAnsi="Trebuchet MS"/>
          <w:b/>
          <w:lang w:val="ro-RO"/>
        </w:rPr>
        <w:t>1. Pentru dovedirea dreptului de proprietate publică/ privata asupra imobilului - obiect al proiectului sunt prezentate următoarele documente, după caz:</w:t>
      </w:r>
    </w:p>
    <w:p>
      <w:pPr>
        <w:autoSpaceDE w:val="0"/>
        <w:autoSpaceDN w:val="0"/>
        <w:adjustRightInd w:val="0"/>
        <w:spacing w:after="0" w:line="240" w:lineRule="auto"/>
        <w:rPr>
          <w:rFonts w:ascii="Trebuchet MS" w:eastAsiaTheme="minorHAnsi" w:hAnsi="Trebuchet MS" w:cs="Trebuchet MS"/>
          <w:color w:val="1F497D" w:themeColor="text2"/>
          <w:sz w:val="24"/>
          <w:szCs w:val="24"/>
          <w:lang w:val="ro-RO"/>
        </w:rPr>
      </w:pPr>
    </w:p>
    <w:p>
      <w:pPr>
        <w:autoSpaceDE w:val="0"/>
        <w:autoSpaceDN w:val="0"/>
        <w:adjustRightInd w:val="0"/>
        <w:spacing w:after="135"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Extras de carte funciară, emis cu maximum 30 de zile înaintea depunerii, din care să rezulte intabularea dreptului de proprietate publică asupra imobilului (teren și/sau clădire) și absența sarcinilor incompatibile cu investiția. </w:t>
      </w:r>
    </w:p>
    <w:p>
      <w:pPr>
        <w:autoSpaceDE w:val="0"/>
        <w:autoSpaceDN w:val="0"/>
        <w:adjustRightInd w:val="0"/>
        <w:spacing w:after="135"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2. Plan de amplasament vizat de OCPI pentru imobilul pe care se propune a se realiza investiţia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3. Excepții :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publică, emis cu maximum 30 de zile înaintea depunerii, din care să rezulte înscrierea provizorie a dreptului de proprietate publică şi absența sarcinilor incompatibile cu investiția, cu obligativitatea înscrierii definitive a dreptului de proprietate publică cel mai târziu la data emiterii autorizației de construire aferente proiectului, dar nu mai târziu de un termen de maxim 12 luni de la data intrării în vigoare a contractului de finanțare, în caz contrar contratul de finanțare va fi reziliat;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privată, emis cu maximum 30 de zile înaintea depunerii, din care să rezulte înscrierea provizorie a dreptului de proprietate privata şi absența sarcinilor incompatibile cu investiția, cu obligativitatea înscrierii definitive până în etapa de precontractare. </w:t>
      </w:r>
    </w:p>
    <w:p>
      <w:pPr>
        <w:autoSpaceDE w:val="0"/>
        <w:autoSpaceDN w:val="0"/>
        <w:adjustRightInd w:val="0"/>
        <w:spacing w:after="0" w:line="240" w:lineRule="auto"/>
        <w:jc w:val="both"/>
        <w:rPr>
          <w:rFonts w:ascii="Trebuchet MS" w:eastAsiaTheme="minorHAnsi" w:hAnsi="Trebuchet MS" w:cs="Trebuchet MS"/>
          <w:color w:val="1F497D" w:themeColor="text2"/>
          <w:lang w:val="ro-RO"/>
        </w:rPr>
      </w:pPr>
      <w:r>
        <w:rPr>
          <w:rFonts w:ascii="Trebuchet MS" w:eastAsiaTheme="minorHAnsi" w:hAnsi="Trebuchet MS" w:cs="Trebuchet MS"/>
          <w:lang w:val="ro-RO"/>
        </w:rPr>
        <w:t>- În situaţia anumitor rețele de utilități publice, pentru dovedirea dreptului de proprietate publică: Hotărârea Guvernului, publicată în Monitorul Oficial al României, conform OUG 57/2019, Legii 287/2009 privind Codul Civil (extras din Monitorul Oficial al României, inclusiv anexele relevante) sau Hotarare de Consiliu Local, dupa caz in condițiile legislației in vigoare sau alte documente de proprietate, pentru cazuri particulare</w:t>
      </w:r>
      <w:r>
        <w:rPr>
          <w:rFonts w:ascii="Trebuchet MS" w:eastAsiaTheme="minorHAnsi" w:hAnsi="Trebuchet MS" w:cs="Trebuchet MS"/>
          <w:color w:val="1F497D" w:themeColor="text2"/>
          <w:lang w:val="ro-RO"/>
        </w:rPr>
        <w:t xml:space="preserve">. </w:t>
      </w:r>
    </w:p>
    <w:p>
      <w:pPr>
        <w:autoSpaceDE w:val="0"/>
        <w:autoSpaceDN w:val="0"/>
        <w:adjustRightInd w:val="0"/>
        <w:spacing w:after="0" w:line="240" w:lineRule="auto"/>
        <w:ind w:firstLine="708"/>
        <w:jc w:val="both"/>
        <w:rPr>
          <w:rFonts w:ascii="Trebuchet MS" w:eastAsiaTheme="minorHAnsi" w:hAnsi="Trebuchet MS" w:cs="Trebuchet MS"/>
          <w:b/>
          <w:lang w:val="ro-RO"/>
        </w:rPr>
      </w:pPr>
      <w:r>
        <w:rPr>
          <w:rFonts w:ascii="Trebuchet MS" w:eastAsiaTheme="minorHAnsi" w:hAnsi="Trebuchet MS" w:cs="Trebuchet MS"/>
          <w:lang w:val="ro-RO"/>
        </w:rPr>
        <w:t xml:space="preserve"> </w:t>
      </w:r>
      <w:r>
        <w:rPr>
          <w:rFonts w:ascii="Trebuchet MS" w:eastAsiaTheme="minorHAnsi" w:hAnsi="Trebuchet MS" w:cs="Trebuchet MS"/>
          <w:b/>
          <w:lang w:val="ro-RO"/>
        </w:rPr>
        <w:t xml:space="preserve">Pentru dovedirea </w:t>
      </w:r>
      <w:r>
        <w:rPr>
          <w:rFonts w:ascii="Trebuchet MS" w:eastAsiaTheme="minorHAnsi" w:hAnsi="Trebuchet MS" w:cs="Trebuchet MS"/>
          <w:b/>
          <w:bCs/>
          <w:lang w:val="ro-RO"/>
        </w:rPr>
        <w:t xml:space="preserve">dreptului de administrare </w:t>
      </w:r>
      <w:r>
        <w:rPr>
          <w:rFonts w:ascii="Trebuchet MS" w:eastAsiaTheme="minorHAnsi" w:hAnsi="Trebuchet MS" w:cs="Trebuchet MS"/>
          <w:b/>
          <w:lang w:val="ro-RO"/>
        </w:rPr>
        <w:t xml:space="preserve">sunt prezentate următoarele tipuri de documente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cererii de finanțare din care să rezulte intabularea dreptului de administrare şi absența sarcinilor incompatibile cu investiția.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Plan de amplasament vizat de OCPI pentru imobilul pe care se propune a se realiza investiţia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Hotărârea prin care să se demonstreze că solicitantul este administratorul legal al imobilului obiect al investiţiei/proiectului, conform prevederilor legale în vigoare. Menținerea acestui drept va acoperi inclusiv perioada de durabilitate a contractului de finanţare. </w:t>
      </w:r>
    </w:p>
    <w:p>
      <w:pPr>
        <w:autoSpaceDE w:val="0"/>
        <w:autoSpaceDN w:val="0"/>
        <w:adjustRightInd w:val="0"/>
        <w:spacing w:after="0" w:line="240" w:lineRule="auto"/>
        <w:ind w:firstLine="708"/>
        <w:jc w:val="both"/>
        <w:rPr>
          <w:rFonts w:ascii="Trebuchet MS" w:eastAsiaTheme="minorHAnsi" w:hAnsi="Trebuchet MS" w:cs="Trebuchet MS"/>
          <w:lang w:val="ro-RO"/>
        </w:rPr>
      </w:pPr>
      <w:r>
        <w:rPr>
          <w:rFonts w:ascii="Trebuchet MS" w:eastAsiaTheme="minorHAnsi" w:hAnsi="Trebuchet MS" w:cs="Trebuchet MS"/>
          <w:b/>
          <w:lang w:val="ro-RO"/>
        </w:rPr>
        <w:lastRenderedPageBreak/>
        <w:t xml:space="preserve"> Pentru dovedirea </w:t>
      </w:r>
      <w:r>
        <w:rPr>
          <w:rFonts w:ascii="Trebuchet MS" w:eastAsiaTheme="minorHAnsi" w:hAnsi="Trebuchet MS" w:cs="Trebuchet MS"/>
          <w:b/>
          <w:bCs/>
          <w:lang w:val="ro-RO"/>
        </w:rPr>
        <w:t xml:space="preserve">dreptului de concesiune </w:t>
      </w:r>
      <w:r>
        <w:rPr>
          <w:rFonts w:ascii="Trebuchet MS" w:eastAsiaTheme="minorHAnsi" w:hAnsi="Trebuchet MS" w:cs="Trebuchet MS"/>
          <w:lang w:val="ro-RO"/>
        </w:rPr>
        <w:t xml:space="preserve">se va prezenta, în mod obligatoriu,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cerereii de finanțare din care să rezulte intabularea dreptului de concesiune şi absența sarcinilor incompatibile cu investiția.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Plan de amplasament vizat de OCPI pentru imobilul pe care se propune a se realiza investiţia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Actul juridic prin care se transmite/se asigură dreptul de concesiune, conform prevederilor legale în vigoare. Menținerea acestui drept va acoperi inclusiv perioada de durabilitate a contractului de finanţare; </w:t>
      </w:r>
    </w:p>
    <w:p>
      <w:pPr>
        <w:spacing w:after="0" w:line="240" w:lineRule="auto"/>
        <w:jc w:val="both"/>
        <w:rPr>
          <w:rFonts w:ascii="Trebuchet MS" w:hAnsi="Trebuchet MS"/>
          <w:b/>
          <w:sz w:val="24"/>
          <w:szCs w:val="24"/>
          <w:lang w:val="ro-RO"/>
        </w:rPr>
      </w:pPr>
      <w:r>
        <w:rPr>
          <w:rFonts w:ascii="Trebuchet MS" w:hAnsi="Trebuchet MS"/>
          <w:b/>
          <w:sz w:val="24"/>
          <w:szCs w:val="24"/>
          <w:lang w:val="ro-RO"/>
        </w:rPr>
        <w:t>VII. Bugetul estimativ al  proiectului</w:t>
      </w: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VIII.Consimțământul privind prelucrarea datelor cu caracter personal</w:t>
      </w:r>
    </w:p>
    <w:p>
      <w:pPr>
        <w:spacing w:after="0" w:line="240" w:lineRule="auto"/>
        <w:jc w:val="both"/>
        <w:rPr>
          <w:rFonts w:ascii="Trebuchet MS" w:hAnsi="Trebuchet MS"/>
          <w:b/>
          <w:bCs/>
          <w:sz w:val="24"/>
          <w:szCs w:val="24"/>
          <w:lang w:val="ro-RO"/>
        </w:rPr>
      </w:pPr>
    </w:p>
    <w:p>
      <w:pPr>
        <w:pStyle w:val="ListParagraph"/>
        <w:adjustRightInd w:val="0"/>
        <w:spacing w:line="240" w:lineRule="auto"/>
        <w:ind w:left="360"/>
        <w:jc w:val="both"/>
        <w:rPr>
          <w:rFonts w:ascii="Trebuchet MS" w:hAnsi="Trebuchet MS"/>
          <w:b/>
          <w:color w:val="7030A0"/>
          <w:sz w:val="22"/>
          <w:szCs w:val="22"/>
          <w:lang w:val="ro-RO" w:eastAsia="ro-RO"/>
        </w:rPr>
      </w:pPr>
    </w:p>
    <w:p>
      <w:pPr>
        <w:pStyle w:val="ListParagraph"/>
        <w:adjustRightInd w:val="0"/>
        <w:spacing w:after="0" w:line="240" w:lineRule="auto"/>
        <w:ind w:left="0"/>
        <w:jc w:val="both"/>
        <w:outlineLvl w:val="1"/>
        <w:rPr>
          <w:rFonts w:ascii="Trebuchet MS" w:hAnsi="Trebuchet MS"/>
          <w:b/>
          <w:sz w:val="22"/>
          <w:szCs w:val="22"/>
          <w:lang w:val="ro-RO" w:eastAsia="ro-RO"/>
        </w:rPr>
      </w:pPr>
      <w:bookmarkStart w:id="47" w:name="_Toc11877743"/>
      <w:bookmarkStart w:id="48" w:name="_Toc41298503"/>
      <w:bookmarkStart w:id="49" w:name="_Hlk9354153"/>
      <w:r>
        <w:rPr>
          <w:rFonts w:ascii="Trebuchet MS" w:hAnsi="Trebuchet MS"/>
          <w:b/>
          <w:sz w:val="22"/>
          <w:szCs w:val="22"/>
          <w:lang w:val="ro-RO" w:eastAsia="ro-RO"/>
        </w:rPr>
        <w:t>PASUL 2 CONSTITUIREA COMITETULUI DE EVALUARE ȘI SELECȚIE (CES GAL) ȘI NUMIREA MEMBRILOR EVALUATORI</w:t>
      </w:r>
      <w:bookmarkEnd w:id="47"/>
      <w:bookmarkEnd w:id="48"/>
    </w:p>
    <w:bookmarkEnd w:id="49"/>
    <w:p>
      <w:pPr>
        <w:adjustRightInd w:val="0"/>
        <w:spacing w:line="240" w:lineRule="auto"/>
        <w:jc w:val="both"/>
        <w:rPr>
          <w:rFonts w:ascii="Trebuchet MS" w:hAnsi="Trebuchet MS"/>
          <w:b/>
          <w:lang w:val="ro-RO" w:eastAsia="ro-RO"/>
        </w:rPr>
      </w:pPr>
    </w:p>
    <w:p>
      <w:pPr>
        <w:adjustRightInd w:val="0"/>
        <w:spacing w:line="240" w:lineRule="auto"/>
        <w:ind w:firstLine="708"/>
        <w:jc w:val="both"/>
        <w:rPr>
          <w:rFonts w:ascii="Trebuchet MS" w:hAnsi="Trebuchet MS"/>
          <w:lang w:val="ro-RO" w:eastAsia="ro-RO"/>
        </w:rPr>
      </w:pPr>
      <w:r>
        <w:rPr>
          <w:rFonts w:ascii="Trebuchet MS" w:hAnsi="Trebuchet MS"/>
          <w:lang w:val="ro-RO" w:eastAsia="ro-RO"/>
        </w:rPr>
        <w:t>După centralizarea cererilor privind depunerea  fiselor de proiect, în cadrul apelului de selecție managerul GAL Botoșani pentru Viitor stabilește expertii ( expert tehnic, expert monitorizare evaluare implemmentare, facilitator,/ angajati GAL,etc.) care vor asigura suportul tehnic pentru Comitetul de evaluare și selecție (CES GAL)/ Comitetul de Solutionare a Contestatiilor.Expertii GAL vor pune la dispozitiamembrlor comitetelor de evaluare si selectie a fiselor de proiect si de solutionare a contestatiilor, toate documentele necesare realizarii celor doua procese si vor insoticei 2 evaluatori CES, desemnati de catre presedintele CES pe teren pentru verificarea 4 ochi in teren.</w:t>
      </w:r>
    </w:p>
    <w:p>
      <w:pPr>
        <w:adjustRightInd w:val="0"/>
        <w:spacing w:line="240" w:lineRule="auto"/>
        <w:ind w:firstLine="708"/>
        <w:jc w:val="both"/>
        <w:rPr>
          <w:rFonts w:ascii="Trebuchet MS" w:hAnsi="Trebuchet MS"/>
          <w:lang w:val="ro-RO" w:eastAsia="ro-RO"/>
        </w:rPr>
      </w:pPr>
      <w:r>
        <w:rPr>
          <w:rFonts w:ascii="Trebuchet MS" w:hAnsi="Trebuchet MS"/>
          <w:lang w:val="ro-RO" w:eastAsia="ro-RO"/>
        </w:rPr>
        <w:t>Managerul GAL solicită Președintelui GAL convocarea AGA în vederea numirii membrilor Comitetului de evaluare și selecție (CES GAL)având în vedere evitarea conflictului de interese.</w:t>
      </w:r>
    </w:p>
    <w:p>
      <w:pPr>
        <w:adjustRightInd w:val="0"/>
        <w:spacing w:line="240" w:lineRule="auto"/>
        <w:ind w:firstLine="360"/>
        <w:jc w:val="both"/>
        <w:rPr>
          <w:rFonts w:ascii="Trebuchet MS" w:hAnsi="Trebuchet MS"/>
          <w:lang w:val="ro-RO" w:eastAsia="ro-RO"/>
        </w:rPr>
      </w:pPr>
      <w:r>
        <w:rPr>
          <w:rFonts w:ascii="Trebuchet MS" w:hAnsi="Trebuchet MS"/>
          <w:lang w:val="ro-RO" w:eastAsia="ro-RO"/>
        </w:rPr>
        <w:t xml:space="preserve"> Membrii CES GAL numiti,evaluatori si expertii ce asigura suportul tehnic, vor completa Declarația privind evitarea conflictului de interese (Anexa 3 din Procedura de evaluare si selectie)  precum și Declarația de confidențialitate (Anexa 4 din Procedura de evaluare si Selectie). În conținutul Declarației privind evitarea conflictului de interesese vor menționa cel puțin următoarele aspecte:</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Numele și prenumele declarantului;</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Funcția deținută la nivel GAL;</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Rolul în cadrul procesului de evaluare, Comitetului de selecție/ Comisiei de Soluționare a Contestațiilor;</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 xml:space="preserve">Luarea la cunoștință a prevederilor privind conflictul de interes așa cum este acesta prevăzut la art.10 (alin. 1), art. 11 (alin. 1), art. 13 (alin.1), art. 16 (alin. 1) din OUG nr.66/2011, privind prevenirea, constatarea și soluționarea neregulilor apărute în </w:t>
      </w:r>
      <w:r>
        <w:rPr>
          <w:rFonts w:ascii="Trebuchet MS" w:hAnsi="Trebuchet MS"/>
          <w:sz w:val="22"/>
          <w:szCs w:val="22"/>
          <w:lang w:val="ro-RO" w:eastAsia="ro-RO"/>
        </w:rPr>
        <w:lastRenderedPageBreak/>
        <w:t>obținerea și utlizarea fondurilor europene și/sau a fondurilor publice naționale aferente acestora, cu modificările și completările ulterioare.</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Asumarea faptului căîn situația în care se constată că această declarație nueste conformă cu realitatea, persoana semnatară este pasibilă de încălcarea prevederilor legislației penale privind falsul în declarații;</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Respectarea Regulamentului intern de organizare și funcționare, a procedurilor și regulilor aplicabile funcției pe care o deține, astfel cum acestea sunt descrise în manualele de proceduri interne ale GAL, aplicabile activității pe care o desfășoară pe parcursul întregii perioade în care dețin această funcție;</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Să nu fie implicat în activitatea de pregătire sau implementare de proiecte/cereri de finanțare, precum și în alte activități care ar conduce la suspiciuni legate de imparțialitatea și obiectivitatea în îndeplinirea sarcinilor și responsabilităților ce îi revin în calitate de angajat al GAL;</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Ca ori de câte ori este implicat în analiza/ evaluarea/ contractarea/ monitorizarea implementării/certificării cheltuielilor realizate în cadrul unui proiect depus spre finanțare/finanțat prin POR  să nu se afle într-o situație care l-ar împiedica să acționeze imparțial și nediscriminatoriu;</w:t>
      </w:r>
    </w:p>
    <w:p>
      <w:pPr>
        <w:pStyle w:val="ListParagraph"/>
        <w:numPr>
          <w:ilvl w:val="0"/>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Să informeze din timp Adunarea Generală a GAL/CD al GAL asupra apariției oricăror circumstanțe de natură să îi afecteze obiectivitatea și imparțialitatea în exercitarea îndeplinirea atribuțiilor de serviciu în situațiile în care:</w:t>
      </w:r>
    </w:p>
    <w:p>
      <w:pPr>
        <w:pStyle w:val="ListParagraph"/>
        <w:numPr>
          <w:ilvl w:val="1"/>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este soț/soție cu vreuna din persoanele care dețin părți sociale, părți de interes, acțiuni din capitalul subscris al unuia dintre solicitanți ori care fac parte din consiliul de administrație/organul de conducere sau desupervizare a unuia dintre solicitanți/contestatari sau al operatorilor economici care au elaborat fișele de proiecte/proiectele/cererile de finanțare sau orice document anexat acestora și/sau a proiectului tehnic, inclusiv a firmelor partenere/legate ale acestora, dacă este cazul;</w:t>
      </w:r>
    </w:p>
    <w:p>
      <w:pPr>
        <w:pStyle w:val="ListParagraph"/>
        <w:numPr>
          <w:ilvl w:val="1"/>
          <w:numId w:val="40"/>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este rudă sau afin, până la gradul al doilea inclusiv, cu persoane care dețin părți sociale, părți de interes, acțiuni din capitalul subscris al unuia dintre solicitanți ori care fac parte din consiliul de administrație/organul de conducere sau de supervizare a unuia dintre solicitanți/contestatari sau al operatorilor economici care au elaborat fișele de proiecte/proiectele/cererile de finanțare sau orice document anexat acestora.</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50" w:name="_Toc11877744"/>
      <w:bookmarkStart w:id="51" w:name="_Toc41298504"/>
      <w:r>
        <w:rPr>
          <w:rFonts w:ascii="Trebuchet MS" w:hAnsi="Trebuchet MS"/>
          <w:b/>
          <w:sz w:val="22"/>
          <w:szCs w:val="22"/>
          <w:lang w:val="ro-RO" w:eastAsia="ro-RO"/>
        </w:rPr>
        <w:t>REPARTIZAREA FP ÎN ETAPA CAE</w:t>
      </w:r>
      <w:bookmarkEnd w:id="50"/>
      <w:bookmarkEnd w:id="51"/>
    </w:p>
    <w:p>
      <w:pPr>
        <w:adjustRightInd w:val="0"/>
        <w:spacing w:after="0" w:line="240" w:lineRule="auto"/>
        <w:jc w:val="both"/>
        <w:rPr>
          <w:rFonts w:ascii="Trebuchet MS" w:hAnsi="Trebuchet MS"/>
          <w:lang w:val="ro-RO" w:eastAsia="ro-RO"/>
        </w:rPr>
      </w:pPr>
      <w:r>
        <w:rPr>
          <w:rFonts w:ascii="Trebuchet MS" w:hAnsi="Trebuchet MS"/>
          <w:lang w:val="ro-RO" w:eastAsia="ro-RO"/>
        </w:rPr>
        <w:t>Președintele CES GAL stabilește prin Decizia de repartizare a fișelor de proiecte pentru evaluare (Anexa 5din Procedura de Evaluare si Selectie), cei 2 evaluatori  (membrii CES GAL) care vor realiza verificarea conformității administrative și a criteriilor minime de eligibilitate (etapa CAE), pentru fisele de proiect repartizate. Aceasta decizie este necesara si pentru ca,expertii GAL sa asigure transmiterea in format electronic a tuturor documentelor necesare procesului de evaluare si selectie/ procesului de solutionare a contestatiilor precum si data primei sedinte de lucru.</w:t>
      </w:r>
    </w:p>
    <w:p>
      <w:pPr>
        <w:pStyle w:val="ListParagraph"/>
        <w:numPr>
          <w:ilvl w:val="1"/>
          <w:numId w:val="39"/>
        </w:numPr>
        <w:adjustRightInd w:val="0"/>
        <w:spacing w:after="0" w:line="240" w:lineRule="auto"/>
        <w:ind w:left="0" w:firstLine="0"/>
        <w:jc w:val="both"/>
        <w:outlineLvl w:val="1"/>
        <w:rPr>
          <w:rFonts w:ascii="Trebuchet MS" w:hAnsi="Trebuchet MS"/>
          <w:sz w:val="22"/>
          <w:szCs w:val="22"/>
          <w:lang w:val="ro-RO" w:eastAsia="ro-RO"/>
        </w:rPr>
      </w:pPr>
      <w:bookmarkStart w:id="52" w:name="_Toc11877745"/>
      <w:bookmarkStart w:id="53" w:name="_Toc41298505"/>
      <w:r>
        <w:rPr>
          <w:rFonts w:ascii="Trebuchet MS" w:hAnsi="Trebuchet MS"/>
          <w:b/>
          <w:sz w:val="22"/>
          <w:szCs w:val="22"/>
          <w:lang w:val="ro-RO" w:eastAsia="ro-RO"/>
        </w:rPr>
        <w:t>DESFĂȘURAREA ETAPEI CAE</w:t>
      </w:r>
      <w:bookmarkEnd w:id="52"/>
      <w:bookmarkEnd w:id="53"/>
    </w:p>
    <w:p>
      <w:pPr>
        <w:pStyle w:val="ListParagraph"/>
        <w:adjustRightInd w:val="0"/>
        <w:spacing w:line="240" w:lineRule="auto"/>
        <w:ind w:left="0"/>
        <w:jc w:val="both"/>
        <w:rPr>
          <w:rFonts w:ascii="Trebuchet MS" w:hAnsi="Trebuchet MS"/>
          <w:sz w:val="22"/>
          <w:szCs w:val="22"/>
          <w:lang w:val="ro-RO" w:eastAsia="ro-RO"/>
        </w:rPr>
      </w:pPr>
      <w:r>
        <w:rPr>
          <w:rFonts w:ascii="Trebuchet MS" w:hAnsi="Trebuchet MS"/>
          <w:sz w:val="22"/>
          <w:szCs w:val="22"/>
          <w:lang w:val="ro-RO" w:eastAsia="ro-RO"/>
        </w:rPr>
        <w:t xml:space="preserve">La prima ședință de lucru a CES GAL Președintele împreună cu membrii vor stabili calendarul desfășurării etapei CAE și modalitatea de lucru în așa fel încât procesul de evaluare și selecție în ansamblu să nu depășească perioada maximă de 35 de zile </w:t>
      </w:r>
      <w:r>
        <w:rPr>
          <w:rFonts w:ascii="Trebuchet MS" w:hAnsi="Trebuchet MS"/>
          <w:sz w:val="22"/>
          <w:szCs w:val="22"/>
          <w:lang w:val="ro-RO" w:eastAsia="ro-RO"/>
        </w:rPr>
        <w:lastRenderedPageBreak/>
        <w:t>calendaristice</w:t>
      </w:r>
      <w:r>
        <w:rPr>
          <w:rFonts w:ascii="Trebuchet MS" w:hAnsi="Trebuchet MS"/>
          <w:color w:val="7030A0"/>
          <w:sz w:val="22"/>
          <w:szCs w:val="22"/>
          <w:lang w:val="ro-RO" w:eastAsia="ro-RO"/>
        </w:rPr>
        <w:t xml:space="preserve">, </w:t>
      </w:r>
      <w:r>
        <w:rPr>
          <w:rFonts w:ascii="Trebuchet MS" w:hAnsi="Trebuchet MS"/>
          <w:color w:val="000000" w:themeColor="text1"/>
          <w:sz w:val="22"/>
          <w:szCs w:val="22"/>
          <w:lang w:val="ro-RO" w:eastAsia="ro-RO"/>
        </w:rPr>
        <w:t>inclusiv cu vizita la fața locului pentru fișele proiect POR selectate (dacă este cazul), la care se poate adăuga perioada de soluționare a contestațiilor, dacă este cazul</w:t>
      </w:r>
      <w:r>
        <w:rPr>
          <w:rFonts w:ascii="Trebuchet MS" w:hAnsi="Trebuchet MS"/>
          <w:color w:val="7030A0"/>
          <w:sz w:val="22"/>
          <w:szCs w:val="22"/>
          <w:lang w:val="ro-RO" w:eastAsia="ro-RO"/>
        </w:rPr>
        <w:t xml:space="preserve">. </w:t>
      </w:r>
      <w:r>
        <w:rPr>
          <w:rFonts w:ascii="Trebuchet MS" w:hAnsi="Trebuchet MS"/>
          <w:sz w:val="22"/>
          <w:szCs w:val="22"/>
          <w:lang w:val="ro-RO" w:eastAsia="ro-RO"/>
        </w:rPr>
        <w:t>Toate activitățile vor fi consemnate în procese verbale întocmite de secretarul comisiei.</w:t>
      </w:r>
      <w:bookmarkStart w:id="54" w:name="page4"/>
      <w:bookmarkEnd w:id="54"/>
    </w:p>
    <w:p>
      <w:pPr>
        <w:pStyle w:val="ListParagraph"/>
        <w:numPr>
          <w:ilvl w:val="2"/>
          <w:numId w:val="39"/>
        </w:numPr>
        <w:adjustRightInd w:val="0"/>
        <w:spacing w:after="0" w:line="240" w:lineRule="auto"/>
        <w:ind w:left="0" w:firstLine="0"/>
        <w:jc w:val="both"/>
        <w:outlineLvl w:val="2"/>
        <w:rPr>
          <w:rFonts w:ascii="Trebuchet MS" w:hAnsi="Trebuchet MS"/>
          <w:b/>
          <w:sz w:val="22"/>
          <w:szCs w:val="22"/>
          <w:lang w:val="ro-RO" w:eastAsia="ro-RO"/>
        </w:rPr>
      </w:pPr>
      <w:bookmarkStart w:id="55" w:name="_Toc11877747"/>
      <w:bookmarkStart w:id="56" w:name="_Toc41298506"/>
      <w:r>
        <w:rPr>
          <w:rFonts w:ascii="Trebuchet MS" w:hAnsi="Trebuchet MS"/>
          <w:b/>
          <w:sz w:val="22"/>
          <w:szCs w:val="22"/>
          <w:lang w:val="ro-RO" w:eastAsia="ro-RO"/>
        </w:rPr>
        <w:t>ETAPA CAE PENTRU PROIECTELE POR</w:t>
      </w:r>
      <w:bookmarkEnd w:id="55"/>
      <w:bookmarkEnd w:id="56"/>
    </w:p>
    <w:p>
      <w:pPr>
        <w:adjustRightInd w:val="0"/>
        <w:spacing w:after="0" w:line="240" w:lineRule="auto"/>
        <w:jc w:val="both"/>
        <w:rPr>
          <w:rFonts w:ascii="Trebuchet MS" w:hAnsi="Trebuchet MS"/>
          <w:lang w:val="ro-RO" w:eastAsia="ro-RO"/>
        </w:rPr>
      </w:pPr>
      <w:r>
        <w:rPr>
          <w:rFonts w:ascii="Trebuchet MS" w:hAnsi="Trebuchet MS"/>
          <w:lang w:val="ro-RO" w:eastAsia="ro-RO"/>
        </w:rPr>
        <w:t>Cei 2</w:t>
      </w:r>
      <w:r>
        <w:rPr>
          <w:rFonts w:ascii="Trebuchet MS" w:hAnsi="Trebuchet MS"/>
          <w:b/>
          <w:lang w:val="ro-RO" w:eastAsia="ro-RO"/>
        </w:rPr>
        <w:t xml:space="preserve"> </w:t>
      </w:r>
      <w:r>
        <w:rPr>
          <w:rFonts w:ascii="Trebuchet MS" w:hAnsi="Trebuchet MS"/>
          <w:lang w:val="ro-RO" w:eastAsia="ro-RO"/>
        </w:rPr>
        <w:t>evaluatorii desemnati, membrii ai CES a Fiselor de proiectevor primi pe mail de la expertii GAL, documentele depuse pe suport elecronic de catre beneficiar/i si Grila de verificare a etapei CAE.Cei 2 evaluatorii desemnați vor verifica conformitatea administrativă și criteriile minime de eligibilitate ale FP prin raportare la Grila de verificare a etapei CAE,completand fiecare cate o grila CAE pentru fiecare fisa de proiect in parte. Cele 2 grile de evaluare vor fi asumate prin semnatura, de catre fiecare din cei 2 evaluatori desemnati respectand astfel principul 4 ochi.Cei doi evaluatori desemnati vor efectua si vizita pe teren, acestia fiind insotiti de cei doi experti GAL. Cei 2 evaluatori desemnati vor stabili si eventualele clarificari ce vor fi solicitate  de la beneficiari, dupa caz.</w:t>
      </w:r>
    </w:p>
    <w:p>
      <w:pPr>
        <w:adjustRightInd w:val="0"/>
        <w:spacing w:after="0" w:line="240" w:lineRule="auto"/>
        <w:jc w:val="both"/>
        <w:rPr>
          <w:rFonts w:ascii="Trebuchet MS" w:hAnsi="Trebuchet MS"/>
          <w:lang w:val="ro-RO" w:eastAsia="ro-RO"/>
        </w:rPr>
      </w:pPr>
      <w:r>
        <w:rPr>
          <w:rFonts w:ascii="Trebuchet MS" w:hAnsi="Trebuchet MS"/>
          <w:lang w:val="ro-RO" w:eastAsia="ro-RO"/>
        </w:rPr>
        <w:t>In sedinta de lucru, prin consens, membrii CES a fiselor de proiect isi vor asuma, varianta finala a Grilei de verificare CAE, pentru fiecare fisa de proiect in parte. Fisa finala de verificare CAE va fi asumata prin semnatura de catretoti evaluatorii CES a Fiselor de proiecte si va fi insotita de grilele CAE semnate de cei doi evaluatori desemnati.</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Toate verificările efectuate de către evaluatorii GAL/expertii GAL vor respecta principiul de verificare „4 ochi”, </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57" w:name="_Toc11877748"/>
      <w:bookmarkStart w:id="58" w:name="_Toc41298507"/>
      <w:r>
        <w:rPr>
          <w:rFonts w:ascii="Trebuchet MS" w:hAnsi="Trebuchet MS"/>
          <w:b/>
          <w:sz w:val="22"/>
          <w:szCs w:val="22"/>
          <w:lang w:val="ro-RO" w:eastAsia="ro-RO"/>
        </w:rPr>
        <w:t>SOLICITAREA DE CLARIFICĂRI ÎN ETAPA CAE</w:t>
      </w:r>
      <w:bookmarkEnd w:id="57"/>
      <w:bookmarkEnd w:id="58"/>
    </w:p>
    <w:p>
      <w:pPr>
        <w:adjustRightInd w:val="0"/>
        <w:spacing w:after="0" w:line="240" w:lineRule="auto"/>
        <w:jc w:val="both"/>
        <w:rPr>
          <w:rFonts w:ascii="Trebuchet MS" w:hAnsi="Trebuchet MS"/>
          <w:lang w:val="ro-RO" w:eastAsia="ro-RO"/>
        </w:rPr>
      </w:pPr>
      <w:r>
        <w:rPr>
          <w:rFonts w:ascii="Trebuchet MS" w:hAnsi="Trebuchet MS"/>
          <w:lang w:val="ro-RO" w:eastAsia="ro-RO"/>
        </w:rPr>
        <w:t>În cazul în care se constată erori evaluatorii GAL pot solicita Președintelui Comitetului de Selecție trimiterea unui set de solicitări de clarificări beneficiarului prin poșta electronică, termenul de răspuns fiind de maximum 5 zile lucrătoare (sau în alt interval stabilit prin scrisoarea de clarificare dar fără să depășească cele 5 zile lucrătoare) de la momentul luării la cunoștință de către solicitant (conform Modelului orientativ de Solicitare de calarificări – (Anexa 7 din Procedura de evaluare si selectie). În cazuri temeinic motivate (dacă informația există deja în dosarul Fișei de proiect sau dacă prin clarificarea solicitată există riscul încălcării principiului tratamentului egal sau dacă solicitarea ar avea ca și consecință completarea Fișei de proiect), Președintele poate refuza transmiterea solicitării de clarificări. Pentru evaluarea conformității administrative la nivelul GAL Botoșani pentru Viitor se va solicita un singur set de clarificări.</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59" w:name="_Toc11877749"/>
      <w:bookmarkStart w:id="60" w:name="_Toc41298508"/>
      <w:r>
        <w:rPr>
          <w:rFonts w:ascii="Trebuchet MS" w:hAnsi="Trebuchet MS"/>
          <w:b/>
          <w:sz w:val="22"/>
          <w:szCs w:val="22"/>
          <w:lang w:val="ro-RO" w:eastAsia="ro-RO"/>
        </w:rPr>
        <w:t>NOTIFICAREA INDIVIDUALĂ A BENEFICIARILOR PRIVIND REZULTATUL ETAPEI CAE</w:t>
      </w:r>
      <w:bookmarkEnd w:id="59"/>
      <w:bookmarkEnd w:id="60"/>
    </w:p>
    <w:p>
      <w:pPr>
        <w:adjustRightInd w:val="0"/>
        <w:spacing w:after="0" w:line="240" w:lineRule="auto"/>
        <w:jc w:val="both"/>
        <w:rPr>
          <w:rFonts w:ascii="Trebuchet MS" w:hAnsi="Trebuchet MS"/>
          <w:lang w:val="ro-RO" w:eastAsia="ro-RO"/>
        </w:rPr>
      </w:pPr>
      <w:r>
        <w:rPr>
          <w:rFonts w:ascii="Trebuchet MS" w:hAnsi="Trebuchet MS"/>
          <w:lang w:val="ro-RO" w:eastAsia="ro-RO"/>
        </w:rPr>
        <w:t>GAL va transmite rezultatele selecției către solicitanți. Notificările către solicitanți asupra rezultatului selecției vor fi semnate de către Reprezentantul legal al GAL sau de un angajat al GAL desemnat în acest sens. Notificarea se va transmite prin e-mail/fax la datele de contact menționate în fișa de proiect. Notificările trebuie să conțină motivele pentru care fișele de proiect nu au fost selectate, precum și perioada de depunere și soluționare a contestațiilor.</w:t>
      </w:r>
    </w:p>
    <w:p>
      <w:pPr>
        <w:adjustRightInd w:val="0"/>
        <w:spacing w:after="0" w:line="240" w:lineRule="auto"/>
        <w:jc w:val="both"/>
        <w:rPr>
          <w:rFonts w:ascii="Trebuchet MS" w:hAnsi="Trebuchet MS"/>
          <w:lang w:val="ro-RO" w:eastAsia="ro-RO"/>
        </w:rPr>
      </w:pPr>
      <w:r>
        <w:rPr>
          <w:rFonts w:ascii="Trebuchet MS" w:hAnsi="Trebuchet MS"/>
          <w:lang w:eastAsia="ro-RO"/>
        </w:rPr>
        <w:t>Beneficiarii care au fost notificați de către GAL de faptul că fișele de proiect ale acestora nu au fost selectate pot depun econtestațiii la sediul GAL întermenul legal stabilit și comunicat de GAL, de la primirea notificării.</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61" w:name="_Toc11877750"/>
      <w:bookmarkStart w:id="62" w:name="_Toc41298509"/>
      <w:r>
        <w:rPr>
          <w:rFonts w:ascii="Trebuchet MS" w:hAnsi="Trebuchet MS"/>
          <w:b/>
          <w:sz w:val="22"/>
          <w:szCs w:val="22"/>
          <w:lang w:val="ro-RO" w:eastAsia="ro-RO"/>
        </w:rPr>
        <w:t>CONSTITUIREA COMISIEI DE SOLUȚIONARE A CONTESTAȚIILOR ÎN ETAPA CAE</w:t>
      </w:r>
      <w:bookmarkEnd w:id="61"/>
      <w:bookmarkEnd w:id="62"/>
    </w:p>
    <w:p>
      <w:pPr>
        <w:adjustRightInd w:val="0"/>
        <w:spacing w:after="0" w:line="240" w:lineRule="auto"/>
        <w:jc w:val="both"/>
        <w:rPr>
          <w:rFonts w:ascii="Trebuchet MS" w:hAnsi="Trebuchet MS"/>
          <w:lang w:eastAsia="ro-RO"/>
        </w:rPr>
      </w:pPr>
      <w:r>
        <w:rPr>
          <w:rFonts w:ascii="Trebuchet MS" w:hAnsi="Trebuchet MS"/>
          <w:lang w:eastAsia="ro-RO"/>
        </w:rPr>
        <w:lastRenderedPageBreak/>
        <w:t>La finalizarea termenului stabilit prin notificare, în cazul în care se înregistrează contestații, Președintele Asociatiei GAL Botoșani pentru viitor va convoca AGA, care va stabili Comitetul de Solutionare a Contestatiilor, respectand aceleasi reguli ca la constituirea Comitetului de Evaluare si Selectie ( termen de maxim 5 zile calendaristice). Membrii Comisiei de Soluționare a Contestațiilor (CSC) în etapa CAE  vor especta regulile conflictului de interes, completând aceeași declarație ca și membrii Comitetului de Evaluare si Selecție</w:t>
      </w:r>
      <w:r>
        <w:rPr>
          <w:rFonts w:ascii="Trebuchet MS" w:hAnsi="Trebuchet MS"/>
          <w:highlight w:val="yellow"/>
          <w:lang w:eastAsia="ro-RO"/>
        </w:rPr>
        <w:t>.</w:t>
      </w:r>
    </w:p>
    <w:p>
      <w:pPr>
        <w:adjustRightInd w:val="0"/>
        <w:spacing w:after="0" w:line="240" w:lineRule="auto"/>
        <w:jc w:val="both"/>
        <w:rPr>
          <w:rFonts w:ascii="Trebuchet MS" w:hAnsi="Trebuchet MS"/>
          <w:lang w:eastAsia="ro-RO"/>
        </w:rPr>
      </w:pPr>
    </w:p>
    <w:p>
      <w:pPr>
        <w:adjustRightInd w:val="0"/>
        <w:spacing w:after="0" w:line="240" w:lineRule="auto"/>
        <w:jc w:val="both"/>
        <w:rPr>
          <w:rFonts w:ascii="Trebuchet MS" w:hAnsi="Trebuchet MS"/>
          <w:lang w:eastAsia="ro-RO"/>
        </w:rPr>
      </w:pPr>
    </w:p>
    <w:p>
      <w:pPr>
        <w:adjustRightInd w:val="0"/>
        <w:spacing w:after="0" w:line="240" w:lineRule="auto"/>
        <w:jc w:val="both"/>
        <w:rPr>
          <w:rFonts w:ascii="Trebuchet MS" w:hAnsi="Trebuchet MS"/>
          <w:lang w:eastAsia="ro-RO"/>
        </w:rPr>
      </w:pP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63" w:name="_Toc11877751"/>
      <w:bookmarkStart w:id="64" w:name="_Toc41298510"/>
      <w:r>
        <w:rPr>
          <w:rFonts w:ascii="Trebuchet MS" w:hAnsi="Trebuchet MS"/>
          <w:b/>
          <w:sz w:val="22"/>
          <w:szCs w:val="22"/>
          <w:lang w:val="ro-RO" w:eastAsia="ro-RO"/>
        </w:rPr>
        <w:t>SOLUȚIONAREA CONTESTAȚIILOR ÎN ETAPA CAE</w:t>
      </w:r>
      <w:bookmarkEnd w:id="63"/>
      <w:bookmarkEnd w:id="64"/>
    </w:p>
    <w:p>
      <w:pPr>
        <w:adjustRightInd w:val="0"/>
        <w:spacing w:after="0" w:line="240" w:lineRule="auto"/>
        <w:jc w:val="both"/>
        <w:rPr>
          <w:rFonts w:ascii="Trebuchet MS" w:hAnsi="Trebuchet MS"/>
          <w:lang w:val="ro-RO" w:eastAsia="ro-RO"/>
        </w:rPr>
      </w:pPr>
      <w:r>
        <w:rPr>
          <w:rFonts w:ascii="Trebuchet MS" w:hAnsi="Trebuchet MS"/>
          <w:lang w:eastAsia="ro-RO"/>
        </w:rPr>
        <w:t>Comitetul de Solu</w:t>
      </w:r>
      <w:r>
        <w:rPr>
          <w:rFonts w:ascii="Trebuchet MS" w:hAnsi="Trebuchet MS"/>
          <w:lang w:val="ro-RO" w:eastAsia="ro-RO"/>
        </w:rPr>
        <w:t>ț</w:t>
      </w:r>
      <w:r>
        <w:rPr>
          <w:rFonts w:ascii="Trebuchet MS" w:hAnsi="Trebuchet MS"/>
          <w:lang w:eastAsia="ro-RO"/>
        </w:rPr>
        <w:t>ionare a Contestațiilor va analiza la nivelul respectivelor fișe de proiect, doar aspectele care au facut obiectul contestațiilor. Presedintele CSC, prin decizie, va nominaliza 2 membri evaluatori. Fiecare membru evaluator va completa cate o grila de evaluare CAE,doar pentru criteriul/criteriile  care face/fac obiectul contestatiei. Fiecare evaluator isi va asuma prin semnatura grila completata. Acestea vor fi discutate in sedinta Comitetului de Solutionare a contestatiilor si Grila de evaluare CAE, finala, doar pentru criteriul/criteriile  care face/fac obiectul contestatiei, va fi asumata prin semnatura de catre toti membrii comitetului Pe parcursul procesului de soluționare a contestațiilor poate fi solicitat un singur set de clarificări. În urma soluționării eventualelor contestații, CSC va elabora un Raport de Contestații (Anexa 10 din Procedura de evaluare si selectie), care va fi semnat de către membrii Comisiei și va fi înaintat Comitetului de Evaluare si Selecție. Contestațiile vor fi soluționate într-un termen de maxim 5 zile lucrătoare. Zilele aferente solutionarii contestatiilor, pot fi adaugate celor 35 de zile calendaristice, conform art 12 din prezenta procedura.</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65" w:name="_Toc11877752"/>
      <w:bookmarkStart w:id="66" w:name="_Toc41298511"/>
      <w:r>
        <w:rPr>
          <w:rFonts w:ascii="Trebuchet MS" w:hAnsi="Trebuchet MS"/>
          <w:b/>
          <w:sz w:val="22"/>
          <w:szCs w:val="22"/>
          <w:lang w:val="ro-RO" w:eastAsia="ro-RO"/>
        </w:rPr>
        <w:t>REPARTIZAREA FP ÎN ETAPA ETF</w:t>
      </w:r>
      <w:bookmarkEnd w:id="65"/>
      <w:bookmarkEnd w:id="66"/>
    </w:p>
    <w:p>
      <w:pPr>
        <w:adjustRightInd w:val="0"/>
        <w:spacing w:after="0" w:line="240" w:lineRule="auto"/>
        <w:jc w:val="both"/>
        <w:rPr>
          <w:rFonts w:ascii="Trebuchet MS" w:hAnsi="Trebuchet MS"/>
          <w:lang w:val="ro-RO" w:eastAsia="ro-RO"/>
        </w:rPr>
      </w:pPr>
      <w:r>
        <w:rPr>
          <w:rFonts w:ascii="Trebuchet MS" w:hAnsi="Trebuchet MS"/>
          <w:lang w:eastAsia="ro-RO"/>
        </w:rPr>
        <w:t>În baza Raportului de Contestații, Comitetul de Evaluare si  Selecție va emite Raportul de selecție intermediar aferent etapei CAE, în care vor fi înscrise fișele de proiecta retrase, neeligibile și eligibile, valoarea acestora, numele solicitanților</w:t>
      </w:r>
      <w:r>
        <w:rPr>
          <w:rFonts w:ascii="Trebuchet MS" w:hAnsi="Trebuchet MS"/>
          <w:b/>
          <w:lang w:val="ro-RO" w:eastAsia="ro-RO"/>
        </w:rPr>
        <w:t>.</w:t>
      </w:r>
      <w:r>
        <w:rPr>
          <w:rFonts w:ascii="Trebuchet MS" w:hAnsi="Trebuchet MS"/>
          <w:lang w:val="ro-RO" w:eastAsia="ro-RO"/>
        </w:rPr>
        <w:t xml:space="preserve"> Președintele CES GAL stabilește prin Decizia de repartizare a fișelor de proiecte pentru evaluare (Anexa 5 din Procedura de evaluare si selectie), 2 evaluatori (membrii CES GAL,) care vor realiza  ETF ( evaluarea tehnico financiara), pentru fisele de proiect repartizate. Acestia pot fi aceiasi din etapa CAE sau alti membri ai CES. Aceasta decizie este necesara, pentru ca expertii GAL sa asigure transmiterea in format electronic a tuturor documentelor necesare procesului de evaluare si selectie/ procesului de solutionare a contestatiilor precum si datele sedintelor ulterioare.</w:t>
      </w:r>
    </w:p>
    <w:p>
      <w:pPr>
        <w:pStyle w:val="ListParagraph"/>
        <w:numPr>
          <w:ilvl w:val="1"/>
          <w:numId w:val="39"/>
        </w:numPr>
        <w:adjustRightInd w:val="0"/>
        <w:spacing w:after="0" w:line="240" w:lineRule="auto"/>
        <w:ind w:left="0" w:firstLine="0"/>
        <w:jc w:val="both"/>
        <w:outlineLvl w:val="1"/>
        <w:rPr>
          <w:rFonts w:ascii="Trebuchet MS" w:hAnsi="Trebuchet MS"/>
          <w:sz w:val="22"/>
          <w:szCs w:val="22"/>
          <w:lang w:val="ro-RO" w:eastAsia="ro-RO"/>
        </w:rPr>
      </w:pPr>
      <w:bookmarkStart w:id="67" w:name="_Toc11877753"/>
      <w:bookmarkStart w:id="68" w:name="_Toc41298512"/>
      <w:r>
        <w:rPr>
          <w:rFonts w:ascii="Trebuchet MS" w:hAnsi="Trebuchet MS"/>
          <w:b/>
          <w:sz w:val="22"/>
          <w:szCs w:val="22"/>
          <w:lang w:val="ro-RO" w:eastAsia="ro-RO"/>
        </w:rPr>
        <w:t>DESFĂȘURAREA ETAPEI ETF</w:t>
      </w:r>
      <w:bookmarkEnd w:id="67"/>
      <w:bookmarkEnd w:id="68"/>
    </w:p>
    <w:p>
      <w:pPr>
        <w:pStyle w:val="ListParagraph"/>
        <w:adjustRightInd w:val="0"/>
        <w:spacing w:line="240" w:lineRule="auto"/>
        <w:ind w:left="0"/>
        <w:jc w:val="both"/>
        <w:rPr>
          <w:rFonts w:ascii="Trebuchet MS" w:hAnsi="Trebuchet MS"/>
          <w:sz w:val="22"/>
          <w:szCs w:val="22"/>
          <w:lang w:val="ro-RO" w:eastAsia="ro-RO"/>
        </w:rPr>
      </w:pPr>
      <w:r>
        <w:rPr>
          <w:rFonts w:ascii="Trebuchet MS" w:hAnsi="Trebuchet MS"/>
          <w:sz w:val="22"/>
          <w:szCs w:val="22"/>
          <w:lang w:val="ro-RO" w:eastAsia="ro-RO"/>
        </w:rPr>
        <w:t>Evaluarea criteriilor de selecție apartinand ETF se face de către GAL Botoșani pentru Viitor, numai pentru propunerile de proiecte declarate eligibile. La prima ședință de lucru a Comitetul de Selectie al  GAL Președintele împreună cu membrii vor stabili calendarul desfășurării etapei ETF și modalitatea de lucru în așa fel încât procesul de evaluare și selecție în ansamblu să nu depășească perioada maximă de 35 de zile calendaristice,la care se poat adauga perioadele de solutionare a contestatiilor. Toate activitățile vor fi consemnate în procese verbale întocmite de secretarul comisiei.</w:t>
      </w:r>
    </w:p>
    <w:p>
      <w:pPr>
        <w:pStyle w:val="ListParagraph"/>
        <w:numPr>
          <w:ilvl w:val="2"/>
          <w:numId w:val="39"/>
        </w:numPr>
        <w:adjustRightInd w:val="0"/>
        <w:spacing w:after="0" w:line="240" w:lineRule="auto"/>
        <w:ind w:left="0" w:firstLine="0"/>
        <w:jc w:val="both"/>
        <w:outlineLvl w:val="2"/>
        <w:rPr>
          <w:rFonts w:ascii="Trebuchet MS" w:hAnsi="Trebuchet MS"/>
          <w:b/>
          <w:sz w:val="22"/>
          <w:szCs w:val="22"/>
          <w:lang w:val="ro-RO" w:eastAsia="ro-RO"/>
        </w:rPr>
      </w:pPr>
      <w:bookmarkStart w:id="69" w:name="_Toc11877755"/>
      <w:bookmarkStart w:id="70" w:name="_Toc41298513"/>
      <w:r>
        <w:rPr>
          <w:rFonts w:ascii="Trebuchet MS" w:hAnsi="Trebuchet MS"/>
          <w:b/>
          <w:sz w:val="22"/>
          <w:szCs w:val="22"/>
          <w:lang w:val="ro-RO" w:eastAsia="ro-RO"/>
        </w:rPr>
        <w:t>ETAPA ETF PENTRU PROIECTELE POR</w:t>
      </w:r>
      <w:bookmarkEnd w:id="69"/>
      <w:bookmarkEnd w:id="70"/>
    </w:p>
    <w:p>
      <w:pPr>
        <w:adjustRightInd w:val="0"/>
        <w:spacing w:after="0" w:line="240" w:lineRule="auto"/>
        <w:jc w:val="both"/>
        <w:rPr>
          <w:rFonts w:ascii="Trebuchet MS" w:hAnsi="Trebuchet MS"/>
          <w:lang w:val="ro-RO" w:eastAsia="ro-RO"/>
        </w:rPr>
      </w:pPr>
      <w:r>
        <w:rPr>
          <w:rFonts w:ascii="Trebuchet MS" w:hAnsi="Trebuchet MS"/>
          <w:lang w:val="ro-RO" w:eastAsia="ro-RO"/>
        </w:rPr>
        <w:lastRenderedPageBreak/>
        <w:t xml:space="preserve">Cei 2 evaluatorii desemnați,membrii Comitetului de Evaluare si Selectie al  GAL. vor realiza evaluarea tehnică și financiară ale FP prin raportare la Grila de verificare a etapei ETF. Acestia vor completa Grila de verificare a etapei ETF, pentru fiecare fisa de proiect si o vor asuma prin semnatura. Cei 2 evaluatori vor stabili si eventualele clarificari ce vor fi solicitate  de la beneficiar,dupa caz.Acestea vor fi discutate in sedinta de lucru a CES. Grila de verificare ETF, finala, ce contine punctajul obtinut la fiecare criteriu, ca rezultat al mediei aritmetice a puctajelor acordate de fiecare membru/ echipa de  evaluator/i al/ai CES a fiselor de proiecte, insotita de grilele de evaluare ETF semnate de fiecare din cei 2 evaluatori desemnati, vor fi asumate prin semnatura de toti membri CES, pentru toate fisele de  proiecte  declarate eligibile selectate.Rezultatele vor fi trecute in Raportul intermediar ce va fi asumat prin semnatura de membrii CES. </w:t>
      </w:r>
      <w:bookmarkStart w:id="71" w:name="_Toc11877756"/>
    </w:p>
    <w:p>
      <w:pPr>
        <w:adjustRightInd w:val="0"/>
        <w:spacing w:after="0" w:line="240" w:lineRule="auto"/>
        <w:jc w:val="both"/>
        <w:rPr>
          <w:rFonts w:ascii="Trebuchet MS" w:hAnsi="Trebuchet MS"/>
          <w:lang w:val="ro-RO" w:eastAsia="ro-RO"/>
        </w:rPr>
      </w:pPr>
    </w:p>
    <w:p>
      <w:pPr>
        <w:adjustRightInd w:val="0"/>
        <w:spacing w:after="0" w:line="240" w:lineRule="auto"/>
        <w:jc w:val="both"/>
        <w:rPr>
          <w:rFonts w:ascii="Trebuchet MS" w:hAnsi="Trebuchet MS"/>
          <w:lang w:val="ro-RO" w:eastAsia="ro-RO"/>
        </w:rPr>
      </w:pPr>
    </w:p>
    <w:p>
      <w:pPr>
        <w:pStyle w:val="ListParagraph"/>
        <w:numPr>
          <w:ilvl w:val="2"/>
          <w:numId w:val="39"/>
        </w:numPr>
        <w:adjustRightInd w:val="0"/>
        <w:spacing w:after="0" w:line="240" w:lineRule="auto"/>
        <w:ind w:left="0" w:firstLine="0"/>
        <w:jc w:val="both"/>
        <w:outlineLvl w:val="2"/>
        <w:rPr>
          <w:rFonts w:ascii="Trebuchet MS" w:hAnsi="Trebuchet MS"/>
          <w:b/>
          <w:sz w:val="22"/>
          <w:szCs w:val="22"/>
          <w:lang w:val="ro-RO" w:eastAsia="ro-RO"/>
        </w:rPr>
      </w:pPr>
      <w:bookmarkStart w:id="72" w:name="_Toc41298514"/>
      <w:r>
        <w:rPr>
          <w:rFonts w:ascii="Trebuchet MS" w:hAnsi="Trebuchet MS"/>
          <w:b/>
          <w:sz w:val="22"/>
          <w:szCs w:val="22"/>
          <w:lang w:val="ro-RO" w:eastAsia="ro-RO"/>
        </w:rPr>
        <w:t>SOLICITAREA DE CLARIFICĂRI ÎN ETAPA ETF</w:t>
      </w:r>
      <w:bookmarkEnd w:id="71"/>
      <w:bookmarkEnd w:id="72"/>
    </w:p>
    <w:p>
      <w:pPr>
        <w:adjustRightInd w:val="0"/>
        <w:spacing w:after="0" w:line="240" w:lineRule="auto"/>
        <w:jc w:val="both"/>
        <w:rPr>
          <w:rFonts w:ascii="Trebuchet MS" w:hAnsi="Trebuchet MS"/>
          <w:lang w:val="ro-RO" w:eastAsia="ro-RO"/>
        </w:rPr>
      </w:pPr>
      <w:r>
        <w:rPr>
          <w:rFonts w:ascii="Trebuchet MS" w:hAnsi="Trebuchet MS"/>
          <w:lang w:val="ro-RO" w:eastAsia="ro-RO"/>
        </w:rPr>
        <w:t>În cazul în care se constată erori evaluatorii GAL pot solicita Președintelui Comitetului de Selecție trimiterea unui set de solicitări de clarificări beneficiarului prin poșta electronică, termenul de răspuns fiind de maximum 5 zile lucrătoare (sau în alt interval stabilit prin scrisoarea de clarificare dar fără să depășească cele 5 zile lucrătoare) de la momentul luării la cunoștință de către solicitant (conform Modelului orientativ de Solicitare de calarificări – (Anexa 7 din Procedura de evaluare si Selectie). În cazuri temeinic motivate (dacă informația există deja în dosarul Fișei de proiect sau dacă prin clarificarea solicitată există riscul încălcării principiului tratamentului egal sau dacă solicitarea ar avea ca și consecință completarea Fișei de proiect), Președintele poate refuza transmiterea solicitării de clarificări. Pentru evaluarea tehnică și financiară la nivelul GAL Botoșani pentru Viitor se va solicita un singur set de clarificări.</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73" w:name="_Toc11877757"/>
      <w:bookmarkStart w:id="74" w:name="_Toc41298515"/>
      <w:r>
        <w:rPr>
          <w:rFonts w:ascii="Trebuchet MS" w:hAnsi="Trebuchet MS"/>
          <w:b/>
          <w:sz w:val="22"/>
          <w:szCs w:val="22"/>
          <w:lang w:val="ro-RO" w:eastAsia="ro-RO"/>
        </w:rPr>
        <w:t>SELECȚIA FP APROBATE CU ÎNCADRAREA ÎN BUGETUL INTERVENȚIEI</w:t>
      </w:r>
      <w:bookmarkEnd w:id="73"/>
      <w:bookmarkEnd w:id="74"/>
    </w:p>
    <w:p>
      <w:pPr>
        <w:adjustRightInd w:val="0"/>
        <w:spacing w:after="0" w:line="240" w:lineRule="auto"/>
        <w:jc w:val="both"/>
        <w:rPr>
          <w:rFonts w:ascii="Trebuchet MS" w:hAnsi="Trebuchet MS"/>
          <w:lang w:val="ro-RO" w:eastAsia="ro-RO"/>
        </w:rPr>
      </w:pPr>
      <w:r>
        <w:rPr>
          <w:rFonts w:ascii="Trebuchet MS" w:hAnsi="Trebuchet MS"/>
          <w:lang w:val="ro-RO" w:eastAsia="ro-RO"/>
        </w:rPr>
        <w:t>În urma încheierii etapei ETF Comitetul de Selectie al GAL va realiza o ierarhizare a FP aprobate cu încadrarea în bugetul intervenției pe baza punctajului obținut. Comitetul de Selectie al GAL întocmește un proces verbal (asumat prin semnătură de către toți membrii Comitetului de Selectie GAL) privind rezultatul evaluării. Comitetul de Selectie al  GAL va emite un Raport de selecție intermediar (Anexa 9 din Procedura de evaluare si selectie) în care vor fi înscrise propunerile de proiecte retrase, neeligibile, eligibile neselectate și eligibile selectate, valoarea acestora, numele solicitanților, iar pentru propunerile de proiecte eligibile punctajul obținut pentru fiecare criteriu de selecție.</w:t>
      </w:r>
    </w:p>
    <w:p>
      <w:pPr>
        <w:adjustRightInd w:val="0"/>
        <w:spacing w:after="0" w:line="240" w:lineRule="auto"/>
        <w:jc w:val="both"/>
        <w:rPr>
          <w:rFonts w:ascii="Trebuchet MS" w:hAnsi="Trebuchet MS"/>
          <w:lang w:eastAsia="ro-RO"/>
        </w:rPr>
      </w:pPr>
      <w:r>
        <w:rPr>
          <w:rFonts w:ascii="Trebuchet MS" w:hAnsi="Trebuchet MS"/>
          <w:lang w:val="ro-RO" w:eastAsia="ro-RO"/>
        </w:rPr>
        <w:t>Raportul de selecție intermediar va fi semnat de către toți membrii Comitetului de Selectie al  GAL și se va specifica apartenența lor la mediul privat sau public. Raportul de selecție intermediar va fi publicat la sediul GAL și pe pagina de web a GAL în 5 zile lucrătoare de la aprobare.</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75" w:name="_Toc11877758"/>
      <w:bookmarkStart w:id="76" w:name="_Toc41298516"/>
      <w:r>
        <w:rPr>
          <w:rFonts w:ascii="Trebuchet MS" w:hAnsi="Trebuchet MS"/>
          <w:b/>
          <w:sz w:val="22"/>
          <w:szCs w:val="22"/>
          <w:lang w:val="ro-RO" w:eastAsia="ro-RO"/>
        </w:rPr>
        <w:t>ANUNȚAREA REZULTATULUI INTERMEDIAR AL PROCESULUI DE EVALUARE ȘI SELECȚIE A FP</w:t>
      </w:r>
      <w:bookmarkEnd w:id="75"/>
      <w:bookmarkEnd w:id="76"/>
    </w:p>
    <w:p>
      <w:pPr>
        <w:adjustRightInd w:val="0"/>
        <w:spacing w:after="0" w:line="240" w:lineRule="auto"/>
        <w:jc w:val="both"/>
        <w:rPr>
          <w:rFonts w:ascii="Trebuchet MS" w:hAnsi="Trebuchet MS"/>
          <w:lang w:val="ro-RO" w:eastAsia="ro-RO"/>
        </w:rPr>
      </w:pPr>
      <w:r>
        <w:rPr>
          <w:rFonts w:ascii="Trebuchet MS" w:hAnsi="Trebuchet MS"/>
          <w:lang w:val="ro-RO" w:eastAsia="ro-RO"/>
        </w:rPr>
        <w:t>În baza Raportului de selecție intermediar, GAL va transmite rezultatele selecției către solicitanți.Notificările către solicitanți asupra rezultatului selecției vor fi semnate de către Reprezentantul legal al GAL sau de un angajat al GAL desemnat în acest sens si vor fi transmise in maxim 5 zile de la semnarea Raportului de selecție intermediar  catre beneficiari</w:t>
      </w:r>
      <w:r>
        <w:rPr>
          <w:rFonts w:ascii="Trebuchet MS" w:hAnsi="Trebuchet MS"/>
          <w:color w:val="1F497D" w:themeColor="text2"/>
          <w:lang w:val="ro-RO" w:eastAsia="ro-RO"/>
        </w:rPr>
        <w:t>.</w:t>
      </w:r>
      <w:r>
        <w:rPr>
          <w:rFonts w:ascii="Trebuchet MS" w:hAnsi="Trebuchet MS"/>
          <w:lang w:val="ro-RO" w:eastAsia="ro-RO"/>
        </w:rPr>
        <w:t xml:space="preserve"> Notificarea se va transmite prin e-mail/fax la datele de contact menționate în </w:t>
      </w:r>
      <w:r>
        <w:rPr>
          <w:rFonts w:ascii="Trebuchet MS" w:hAnsi="Trebuchet MS"/>
          <w:lang w:val="ro-RO" w:eastAsia="ro-RO"/>
        </w:rPr>
        <w:lastRenderedPageBreak/>
        <w:t>fișa de proiect. Notificările trebuie să conțină motivele pentru care fișele de proiect nu au fost selectate, precum și perioada de depunere și soluționare a contestațiilor.</w:t>
      </w:r>
    </w:p>
    <w:p>
      <w:pPr>
        <w:adjustRightInd w:val="0"/>
        <w:spacing w:after="0" w:line="240" w:lineRule="auto"/>
        <w:jc w:val="both"/>
        <w:rPr>
          <w:rFonts w:ascii="Trebuchet MS" w:hAnsi="Trebuchet MS"/>
          <w:lang w:val="ro-RO" w:eastAsia="ro-RO"/>
        </w:rPr>
      </w:pPr>
      <w:r>
        <w:rPr>
          <w:rFonts w:ascii="Trebuchet MS" w:hAnsi="Trebuchet MS"/>
          <w:lang w:eastAsia="ro-RO"/>
        </w:rPr>
        <w:t>Beneficiarii care au fost notificați de către GAL de faptul că fișele de proiect ale acestora nu au fost selectate pot depune contestațiii la sediul GAL întermenul legal, stabilit și comunicat de GAL, de la primirea notificării</w:t>
      </w:r>
      <w:r>
        <w:rPr>
          <w:rFonts w:ascii="Trebuchet MS" w:hAnsi="Trebuchet MS"/>
          <w:color w:val="7030A0"/>
          <w:lang w:eastAsia="ro-RO"/>
        </w:rPr>
        <w:t>.</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77" w:name="_Toc11877759"/>
      <w:bookmarkStart w:id="78" w:name="_Toc41298517"/>
      <w:r>
        <w:rPr>
          <w:rFonts w:ascii="Trebuchet MS" w:hAnsi="Trebuchet MS"/>
          <w:b/>
          <w:sz w:val="22"/>
          <w:szCs w:val="22"/>
          <w:lang w:val="ro-RO" w:eastAsia="ro-RO"/>
        </w:rPr>
        <w:t>CONSTITUIREA COMISIEI DE SOLUȚIONARE A CONTESTAȚIILOR ÎN ETAPA ETF</w:t>
      </w:r>
      <w:bookmarkEnd w:id="77"/>
      <w:bookmarkEnd w:id="78"/>
    </w:p>
    <w:p>
      <w:pPr>
        <w:adjustRightInd w:val="0"/>
        <w:spacing w:after="0" w:line="240" w:lineRule="auto"/>
        <w:jc w:val="both"/>
        <w:rPr>
          <w:rFonts w:ascii="Trebuchet MS" w:hAnsi="Trebuchet MS"/>
          <w:lang w:eastAsia="ro-RO"/>
        </w:rPr>
      </w:pPr>
      <w:bookmarkStart w:id="79" w:name="_Toc11877760"/>
      <w:r>
        <w:rPr>
          <w:rFonts w:ascii="Trebuchet MS" w:hAnsi="Trebuchet MS"/>
          <w:lang w:eastAsia="ro-RO"/>
        </w:rPr>
        <w:t>La finalizarea termenului stabilit prin notificare, în cazul în care se înregistrează contestații, Președintele Asociatiei GAL Botoșani pentru viitor va convoca AGA, care va stabili Comitetul de Solutionare a Contestatiilor, respectand aceleasi reguli ca la constituirea Comitetului de Evaluare si Selectie ( termen de maxim 5 zile calendaristice). Membrii Comisiei de Soluționare a Contestațiilor (CSC) în etapa ETF vor especta regulile conflictului de interes, completând aceeași declarație ca și membrii Comitetului de Evaluare si Selecție.</w:t>
      </w:r>
    </w:p>
    <w:p>
      <w:pPr>
        <w:adjustRightInd w:val="0"/>
        <w:spacing w:after="0" w:line="240" w:lineRule="auto"/>
        <w:jc w:val="both"/>
        <w:rPr>
          <w:rFonts w:ascii="Trebuchet MS" w:hAnsi="Trebuchet MS"/>
          <w:lang w:eastAsia="ro-RO"/>
        </w:rPr>
      </w:pP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80" w:name="_Toc41298518"/>
      <w:r>
        <w:rPr>
          <w:rFonts w:ascii="Trebuchet MS" w:hAnsi="Trebuchet MS"/>
          <w:b/>
          <w:sz w:val="22"/>
          <w:szCs w:val="22"/>
          <w:lang w:val="ro-RO" w:eastAsia="ro-RO"/>
        </w:rPr>
        <w:t>SOLUȚIONAREA CONTESTAȚIILOR ÎN ETAPA ETF</w:t>
      </w:r>
      <w:bookmarkEnd w:id="79"/>
      <w:bookmarkEnd w:id="80"/>
    </w:p>
    <w:p>
      <w:pPr>
        <w:adjustRightInd w:val="0"/>
        <w:spacing w:after="0" w:line="240" w:lineRule="auto"/>
        <w:jc w:val="both"/>
        <w:rPr>
          <w:rFonts w:ascii="Trebuchet MS" w:hAnsi="Trebuchet MS"/>
          <w:lang w:val="ro-RO" w:eastAsia="ro-RO"/>
        </w:rPr>
      </w:pPr>
      <w:r>
        <w:rPr>
          <w:rFonts w:ascii="Trebuchet MS" w:hAnsi="Trebuchet MS"/>
          <w:lang w:eastAsia="ro-RO"/>
        </w:rPr>
        <w:t>Comitetul de Solu</w:t>
      </w:r>
      <w:r>
        <w:rPr>
          <w:rFonts w:ascii="Trebuchet MS" w:hAnsi="Trebuchet MS"/>
          <w:lang w:val="ro-RO" w:eastAsia="ro-RO"/>
        </w:rPr>
        <w:t>ț</w:t>
      </w:r>
      <w:r>
        <w:rPr>
          <w:rFonts w:ascii="Trebuchet MS" w:hAnsi="Trebuchet MS"/>
          <w:lang w:eastAsia="ro-RO"/>
        </w:rPr>
        <w:t>ionare a Contestațiilor va analiza la nivelul respectivelor fișe de proiect, doar aspectele care au facut obiectul contestațiilor. Presedintele CSC, prin decizie, va nominaliza 2 membri evaluatori. Fiecare membru evaluator va completa cate o grila de evaluare ETF,doar pentru criteriul/criteriile  care face/fac obiectul contestatiei. Fiecare evaluator isi va asuma prin semnatura grila completata. Acestea vor fi discutate in sedinta Comitetului de Solutionare a contestatiilor si Grila de evaluare ETF finala (care va cuprinde media punctajelor, acordate la criteriile pentru care au fost inregistrate contestatii), va fi asumata prin semnatura de catre toti membrii comitetului Pe parcursul procesului de soluționare a contestațiilor poate fi solicitat un singur set de clarificări. În urma soluționării eventualelor contestații, CSC va elabora un Raport de Contestații (Anexa 10), care va fi semnat de către membrii Comisiei și va fi înaintat Comitetului de Evaluare si Selecție. Contestațiile vor fi soluționate într-un termen de maxim 5 zile lucrătoare. Zilele aferente solutionarii contestatiilor, pot fi adaugate celor 35 de zile calendaristice.</w:t>
      </w:r>
    </w:p>
    <w:p>
      <w:pPr>
        <w:adjustRightInd w:val="0"/>
        <w:spacing w:after="0" w:line="240" w:lineRule="auto"/>
        <w:jc w:val="both"/>
        <w:rPr>
          <w:rFonts w:ascii="Trebuchet MS" w:hAnsi="Trebuchet MS"/>
          <w:lang w:val="ro-RO" w:eastAsia="ro-RO"/>
        </w:rPr>
      </w:pPr>
      <w:r>
        <w:rPr>
          <w:rFonts w:ascii="Trebuchet MS" w:hAnsi="Trebuchet MS"/>
          <w:lang w:eastAsia="ro-RO"/>
        </w:rPr>
        <w:t xml:space="preserve">În urma soluționării eventualelor contestații, Comitetul de Solutionare a Contestatiilor va elabora un Raport de contestații (Anexa 10 din Procedura de evaluare si selectie), care va fi semnat de către membrii Comisiei și va fi înaintat Comitetului de Selecție. </w:t>
      </w:r>
    </w:p>
    <w:p>
      <w:pPr>
        <w:pStyle w:val="ListParagraph"/>
        <w:numPr>
          <w:ilvl w:val="1"/>
          <w:numId w:val="39"/>
        </w:numPr>
        <w:adjustRightInd w:val="0"/>
        <w:spacing w:after="0" w:line="240" w:lineRule="auto"/>
        <w:ind w:left="0" w:firstLine="0"/>
        <w:jc w:val="both"/>
        <w:outlineLvl w:val="1"/>
        <w:rPr>
          <w:rFonts w:ascii="Trebuchet MS" w:hAnsi="Trebuchet MS"/>
          <w:b/>
          <w:sz w:val="22"/>
          <w:szCs w:val="22"/>
          <w:lang w:val="ro-RO" w:eastAsia="ro-RO"/>
        </w:rPr>
      </w:pPr>
      <w:bookmarkStart w:id="81" w:name="_Toc11877761"/>
      <w:bookmarkStart w:id="82" w:name="_Toc41298519"/>
      <w:r>
        <w:rPr>
          <w:rFonts w:ascii="Trebuchet MS" w:hAnsi="Trebuchet MS"/>
          <w:b/>
          <w:sz w:val="22"/>
          <w:szCs w:val="22"/>
          <w:lang w:val="ro-RO" w:eastAsia="ro-RO"/>
        </w:rPr>
        <w:t>FINALIZAREA PROCESULUI DE EVALUARE ȘI SELECȚIE A FP ȘI COMUNICAREA REZULTATELOR</w:t>
      </w:r>
      <w:bookmarkEnd w:id="81"/>
      <w:bookmarkEnd w:id="82"/>
    </w:p>
    <w:p>
      <w:pPr>
        <w:adjustRightInd w:val="0"/>
        <w:spacing w:after="0" w:line="240" w:lineRule="auto"/>
        <w:jc w:val="both"/>
        <w:rPr>
          <w:rFonts w:ascii="Trebuchet MS" w:hAnsi="Trebuchet MS"/>
          <w:lang w:eastAsia="ro-RO"/>
        </w:rPr>
      </w:pPr>
      <w:r>
        <w:rPr>
          <w:rFonts w:ascii="Trebuchet MS" w:hAnsi="Trebuchet MS"/>
          <w:lang w:eastAsia="ro-RO"/>
        </w:rPr>
        <w:t xml:space="preserve">În baza Raportului de contestații, Comitetul de Evaluare si  Selecție va emite Raportul de selecție (final), în care vor fi înscrise fișele de proiecte retrase, neeligibile, eligibile neselectate și eligibile selectate, valoarea acestora, numele solicitanților, iar pentrufișele de proiecte ligibile punctajul obținut pentru fiecare criteriu de selecție. </w:t>
      </w:r>
    </w:p>
    <w:p>
      <w:pPr>
        <w:adjustRightInd w:val="0"/>
        <w:spacing w:after="0" w:line="240" w:lineRule="auto"/>
        <w:jc w:val="both"/>
        <w:rPr>
          <w:rFonts w:ascii="Trebuchet MS" w:hAnsi="Trebuchet MS"/>
          <w:lang w:eastAsia="ro-RO"/>
        </w:rPr>
      </w:pPr>
      <w:r>
        <w:rPr>
          <w:rFonts w:ascii="Trebuchet MS" w:hAnsi="Trebuchet MS"/>
          <w:lang w:eastAsia="ro-RO"/>
        </w:rPr>
        <w:t>Fișele de proiecte care au obținut cel puțin punctajul minim dar care nu au fost selectate pentru finanțare în cadrul Raportului de selecție ca urmare a epuizării bugetului la nivelul apelului, vor constitui lista de rezervă la nivelu lapelului respectiv. Fișele de proiecte cuprinse înlistă de rezervă pot fi retrase și redepuse la următorul apel de selecție, în vederea evaluarii și selecției.</w:t>
      </w:r>
    </w:p>
    <w:p>
      <w:pPr>
        <w:adjustRightInd w:val="0"/>
        <w:spacing w:after="0" w:line="240" w:lineRule="auto"/>
        <w:jc w:val="both"/>
        <w:rPr>
          <w:rFonts w:ascii="Trebuchet MS" w:hAnsi="Trebuchet MS"/>
          <w:lang w:eastAsia="ro-RO"/>
        </w:rPr>
      </w:pPr>
      <w:r>
        <w:rPr>
          <w:rFonts w:ascii="Trebuchet MS" w:hAnsi="Trebuchet MS"/>
          <w:lang w:eastAsia="ro-RO"/>
        </w:rPr>
        <w:t xml:space="preserve">Raportul de selecție final va fi aprobat de Consiliul Director al GAL și va conține precizarea că anumite fișe de proiect pot fi respinse, dacă se constată la nivelul CCS restrains aspecte referitoare la neîndeplinirea cerințelor minime de eligibilitate sau </w:t>
      </w:r>
      <w:r>
        <w:rPr>
          <w:rFonts w:ascii="Trebuchet MS" w:hAnsi="Trebuchet MS"/>
          <w:lang w:eastAsia="ro-RO"/>
        </w:rPr>
        <w:lastRenderedPageBreak/>
        <w:t xml:space="preserve">încălcarea unor principii generate de selecție /procedura de evaluare și selecție avizată de CCS restrâns. </w:t>
      </w:r>
      <w:r>
        <w:rPr>
          <w:rFonts w:ascii="Trebuchet MS" w:hAnsi="Trebuchet MS"/>
          <w:lang w:val="ro-RO" w:eastAsia="ro-RO"/>
        </w:rPr>
        <w:t xml:space="preserve">Raportul de selecție final va fi publicat la sediul GAL și pe pagina de web www.galbotosani.ro, a GAL în 5 zile lucrătoare de la aprobare. GAL va transmite rezultatele selecției către solicitanți 5 zile lucrătoare de la aprobara Raportului de selecție final. </w:t>
      </w:r>
    </w:p>
    <w:p>
      <w:pPr>
        <w:adjustRightInd w:val="0"/>
        <w:spacing w:after="0" w:line="240" w:lineRule="auto"/>
        <w:jc w:val="both"/>
        <w:rPr>
          <w:rFonts w:ascii="Trebuchet MS" w:hAnsi="Trebuchet MS"/>
          <w:lang w:val="ro-RO" w:eastAsia="ro-RO"/>
        </w:rPr>
      </w:pPr>
      <w:r>
        <w:rPr>
          <w:rFonts w:ascii="Trebuchet MS" w:hAnsi="Trebuchet MS"/>
          <w:lang w:val="ro-RO" w:eastAsia="ro-RO"/>
        </w:rPr>
        <w:t>In conformitate cu prevederile instructiunii comune MFE nr. 99534/13.12,2019 si MLPDA nr. 174864/16.12.2019, prezenta reprezentantilor  ADR, ce au calitatea de observatori in cadrul procesului de selectie, este obligatorie la momentul aprobarii Raportului de selectie Final iar invitarea de catre GAL si participarea acestora la Raportul intermediar este optionala.</w:t>
      </w:r>
    </w:p>
    <w:p>
      <w:pPr>
        <w:adjustRightInd w:val="0"/>
        <w:spacing w:after="0" w:line="240" w:lineRule="auto"/>
        <w:jc w:val="both"/>
        <w:rPr>
          <w:rFonts w:ascii="Trebuchet MS" w:hAnsi="Trebuchet MS"/>
          <w:lang w:val="ro-RO" w:eastAsia="ro-RO"/>
        </w:rPr>
      </w:pPr>
      <w:r>
        <w:rPr>
          <w:rFonts w:ascii="Trebuchet MS" w:hAnsi="Trebuchet MS"/>
          <w:lang w:val="ro-RO" w:eastAsia="ro-RO"/>
        </w:rPr>
        <w:t>Managerul GAL asigura, prin transmiterea la timp a informatiilor, prezența reprezentanților  ADR.</w:t>
      </w:r>
    </w:p>
    <w:p>
      <w:pPr>
        <w:adjustRightInd w:val="0"/>
        <w:spacing w:after="0" w:line="240" w:lineRule="auto"/>
        <w:jc w:val="both"/>
        <w:rPr>
          <w:rFonts w:ascii="Trebuchet MS" w:hAnsi="Trebuchet MS"/>
          <w:lang w:eastAsia="ro-RO"/>
        </w:rPr>
      </w:pPr>
      <w:r>
        <w:rPr>
          <w:rFonts w:ascii="Trebuchet MS" w:hAnsi="Trebuchet MS"/>
          <w:lang w:eastAsia="ro-RO"/>
        </w:rPr>
        <w:t>Pachetul fișelor de proiecte selectate în cadrul apelurilor desfășurate de GAL împreună cu Raportul de selecție final va fi depus la Secretariatul CCS restrâns.</w:t>
      </w:r>
    </w:p>
    <w:p>
      <w:pPr>
        <w:adjustRightInd w:val="0"/>
        <w:spacing w:after="0" w:line="240" w:lineRule="auto"/>
        <w:ind w:firstLine="708"/>
        <w:jc w:val="both"/>
        <w:rPr>
          <w:rFonts w:ascii="Trebuchet MS" w:hAnsi="Trebuchet MS"/>
          <w:lang w:eastAsia="ro-RO"/>
        </w:rPr>
      </w:pPr>
      <w:r>
        <w:rPr>
          <w:rFonts w:ascii="Trebuchet MS" w:hAnsi="Trebuchet MS"/>
          <w:lang w:val="ro-RO" w:eastAsia="ro-RO"/>
        </w:rPr>
        <w:t xml:space="preserve"> După verificarea de către CCS restrans a pachetului de fișe de proiecte selectate, dacă lista / pachetul de fișe de proiect va fi aprobată/vor fi aprobate, beneficiarii vor fi notificați în scris în termen de maxim 5 zile și lista va fi publicată la sediul GAL Botoșani pentru Viitor, pagina de Facebook/web www.galbotosani.ro, la sediul Primăriei mun. Botoșani (după caz).</w:t>
      </w:r>
    </w:p>
    <w:p>
      <w:pPr>
        <w:adjustRightInd w:val="0"/>
        <w:spacing w:after="0" w:line="240" w:lineRule="auto"/>
        <w:ind w:firstLine="708"/>
        <w:jc w:val="both"/>
        <w:rPr>
          <w:rFonts w:ascii="Trebuchet MS" w:hAnsi="Trebuchet MS"/>
          <w:lang w:val="ro-RO" w:eastAsia="ro-RO"/>
        </w:rPr>
      </w:pPr>
      <w:r>
        <w:rPr>
          <w:rFonts w:ascii="Trebuchet MS" w:hAnsi="Trebuchet MS"/>
          <w:lang w:val="ro-RO" w:eastAsia="ro-RO"/>
        </w:rPr>
        <w:t xml:space="preserve"> În cazul în care în urma derulării unui apel de fișe de proiecte nu a fost depusă nicio fișă de proiect, GAL va înștiința Secretariatul CCS restrâns asupra acestui fapt. În această situație nu se va emite Raport de selecție.</w:t>
      </w:r>
    </w:p>
    <w:p>
      <w:pPr>
        <w:adjustRightInd w:val="0"/>
        <w:spacing w:after="0" w:line="240" w:lineRule="auto"/>
        <w:ind w:firstLine="708"/>
        <w:jc w:val="both"/>
        <w:rPr>
          <w:rFonts w:ascii="Trebuchet MS" w:hAnsi="Trebuchet MS"/>
          <w:lang w:val="ro-RO" w:eastAsia="ro-RO"/>
        </w:rPr>
      </w:pPr>
      <w:r>
        <w:rPr>
          <w:rFonts w:ascii="Trebuchet MS" w:hAnsi="Trebuchet MS"/>
          <w:lang w:val="ro-RO" w:eastAsia="ro-RO"/>
        </w:rPr>
        <w:t xml:space="preserve"> În cazul în care în urma derulării unui apel de selectie de fișe de proiecte, nu a fost depusă nicio fișă de proiect, apelul se reia in urmatoarea sesiune.</w:t>
      </w:r>
    </w:p>
    <w:p>
      <w:pPr>
        <w:adjustRightInd w:val="0"/>
        <w:spacing w:after="0" w:line="240" w:lineRule="auto"/>
        <w:jc w:val="both"/>
        <w:rPr>
          <w:rFonts w:ascii="Trebuchet MS" w:hAnsi="Trebuchet MS"/>
          <w:lang w:eastAsia="ro-RO"/>
        </w:rPr>
      </w:pPr>
    </w:p>
    <w:p>
      <w:pPr>
        <w:pStyle w:val="Normal1"/>
        <w:spacing w:after="120" w:line="240" w:lineRule="auto"/>
        <w:jc w:val="both"/>
        <w:outlineLvl w:val="1"/>
        <w:rPr>
          <w:rFonts w:ascii="Trebuchet MS" w:eastAsia="Arial" w:hAnsi="Trebuchet MS"/>
          <w:b/>
          <w:color w:val="auto"/>
        </w:rPr>
      </w:pPr>
      <w:bookmarkStart w:id="83" w:name="_Toc41298520"/>
      <w:r>
        <w:rPr>
          <w:rFonts w:ascii="Trebuchet MS" w:eastAsia="Arial" w:hAnsi="Trebuchet MS"/>
          <w:b/>
          <w:color w:val="auto"/>
          <w:highlight w:val="magenta"/>
        </w:rPr>
        <w:t>PASUL 3 - DEZVOLTAREA CERERII DE FINANȚARE</w:t>
      </w:r>
      <w:bookmarkEnd w:id="83"/>
    </w:p>
    <w:p>
      <w:pPr>
        <w:pStyle w:val="Normal1"/>
        <w:spacing w:after="120" w:line="240" w:lineRule="auto"/>
        <w:jc w:val="both"/>
        <w:outlineLvl w:val="1"/>
        <w:rPr>
          <w:rFonts w:ascii="Trebuchet MS" w:eastAsia="Arial" w:hAnsi="Trebuchet MS"/>
          <w:b/>
          <w:color w:val="auto"/>
        </w:rPr>
      </w:pPr>
    </w:p>
    <w:p>
      <w:pPr>
        <w:pStyle w:val="Normal1"/>
        <w:numPr>
          <w:ilvl w:val="0"/>
          <w:numId w:val="37"/>
        </w:numPr>
        <w:spacing w:after="120" w:line="240" w:lineRule="auto"/>
        <w:jc w:val="both"/>
        <w:rPr>
          <w:rFonts w:ascii="Trebuchet MS" w:eastAsia="Trebuchet MS" w:hAnsi="Trebuchet MS"/>
          <w:color w:val="auto"/>
        </w:rPr>
      </w:pPr>
      <w:r>
        <w:rPr>
          <w:rFonts w:ascii="Trebuchet MS" w:eastAsia="Trebuchet MS" w:hAnsi="Trebuchet MS"/>
          <w:color w:val="auto"/>
        </w:rPr>
        <w:t>Ulterior selectării de către GAL și avizării de către CCS restrâns, beneficiarii fișelor de proiecte câștigătoare vor dezvolta fișele de proiect în cereri de finanțare, conform prevederilor GHIDULUI SOLICITANTULUI - CONDIȚII SPECIFICE DE ACCESARE A FONDURILOR pentru cererile de finanțare aferente fișelor de proiect selectate  de GAL în cadrul SDL - Etapa a III-a a mecanismului DLRC – POR/AP 9/ PI 9.1.</w:t>
      </w:r>
    </w:p>
    <w:p>
      <w:pPr>
        <w:pStyle w:val="Normal1"/>
        <w:spacing w:after="0" w:line="240" w:lineRule="auto"/>
        <w:ind w:left="360"/>
        <w:jc w:val="both"/>
        <w:rPr>
          <w:rFonts w:ascii="Trebuchet MS" w:eastAsia="Trebuchet MS" w:hAnsi="Trebuchet MS"/>
          <w:color w:val="auto"/>
        </w:rPr>
      </w:pPr>
    </w:p>
    <w:p>
      <w:pPr>
        <w:pStyle w:val="Heading2"/>
        <w:spacing w:before="0" w:line="240" w:lineRule="auto"/>
        <w:jc w:val="both"/>
        <w:rPr>
          <w:rFonts w:ascii="Trebuchet MS" w:hAnsi="Trebuchet MS"/>
          <w:i/>
          <w:noProof/>
          <w:color w:val="auto"/>
        </w:rPr>
      </w:pPr>
      <w:bookmarkStart w:id="84" w:name="_Toc41298521"/>
      <w:r>
        <w:rPr>
          <w:rFonts w:ascii="Trebuchet MS" w:hAnsi="Trebuchet MS"/>
          <w:i/>
          <w:noProof/>
          <w:color w:val="auto"/>
        </w:rPr>
        <w:t>Subcapitolul 4.2 Cererea de finanțare – transmiterea, verificarea si contractarea</w:t>
      </w:r>
      <w:bookmarkEnd w:id="84"/>
    </w:p>
    <w:p>
      <w:pPr>
        <w:spacing w:after="0"/>
        <w:rPr>
          <w:rFonts w:ascii="Trebuchet MS" w:hAnsi="Trebuchet MS"/>
        </w:rPr>
      </w:pPr>
    </w:p>
    <w:p>
      <w:pPr>
        <w:spacing w:line="240" w:lineRule="auto"/>
        <w:jc w:val="both"/>
        <w:rPr>
          <w:rFonts w:ascii="Trebuchet MS" w:hAnsi="Trebuchet MS"/>
          <w:lang w:val="ro-RO"/>
        </w:rPr>
      </w:pPr>
      <w:r>
        <w:rPr>
          <w:rFonts w:ascii="Trebuchet MS" w:hAnsi="Trebuchet MS"/>
          <w:lang w:val="ro-RO"/>
        </w:rPr>
        <w:t xml:space="preserve">Beneficiarii fișelor de proiecte câștigătoare vor încărca în sistemul MySMIS2014 cererile de finanțare aferente fișelor de proiecte selectate, conform prevederilor GHIDULUI SOLICITANTULUI - CONDIȚII SPECIFICE DE ACCESARE A FONDURILOR pentru cererile de finanțare aferente fișelor de proiect selectate  de GAL în cadrul SDL - Etapa a III-a a mecanismului DLRC – POR/AP 9/ PI 9.1. </w:t>
      </w:r>
    </w:p>
    <w:p>
      <w:pPr>
        <w:spacing w:after="120" w:line="240" w:lineRule="auto"/>
        <w:jc w:val="both"/>
        <w:rPr>
          <w:rFonts w:ascii="Trebuchet MS" w:hAnsi="Trebuchet MS" w:cs="Calibri"/>
          <w:b/>
          <w:bCs/>
          <w:lang w:val="ro-RO"/>
        </w:rPr>
      </w:pPr>
      <w:r>
        <w:rPr>
          <w:rFonts w:ascii="Trebuchet MS" w:hAnsi="Trebuchet MS" w:cs="Calibri"/>
          <w:b/>
          <w:bCs/>
          <w:lang w:val="ro-RO"/>
        </w:rPr>
        <w:t xml:space="preserve">Cererea de finanțare se va depune, exclusiv prin aplicația MySMIS2014 </w:t>
      </w:r>
    </w:p>
    <w:p>
      <w:pPr>
        <w:spacing w:line="240" w:lineRule="auto"/>
        <w:jc w:val="both"/>
        <w:rPr>
          <w:rFonts w:ascii="Trebuchet MS" w:hAnsi="Trebuchet MS"/>
          <w:lang w:val="ro-RO"/>
        </w:rPr>
      </w:pPr>
      <w:r>
        <w:rPr>
          <w:rFonts w:ascii="Trebuchet MS" w:hAnsi="Trebuchet MS"/>
          <w:lang w:val="ro-RO"/>
        </w:rPr>
        <w:lastRenderedPageBreak/>
        <w:t xml:space="preserve">AMPOR va deschide sesiuni de depunere în sistemul informatic MySMIS2014 pentru depunerea cererilor de finanțare/proiectelor aferente exclusiv fișelor de proiect care au fost selectate de GAL și avizate de către CCS retrâns. Proiectele POR ale căror fișe de proiect au fost selectate de </w:t>
      </w:r>
      <w:r>
        <w:rPr>
          <w:rFonts w:ascii="Trebuchet MS" w:eastAsia="Trebuchet MS" w:hAnsi="Trebuchet MS"/>
        </w:rPr>
        <w:t>GAL Botosani pentru Viitor</w:t>
      </w:r>
      <w:r>
        <w:rPr>
          <w:rFonts w:ascii="Trebuchet MS" w:hAnsi="Trebuchet MS"/>
          <w:lang w:val="ro-RO"/>
        </w:rPr>
        <w:t>, avizate de CCS restrâns și încărcate în sistemul informatic MySMIS2014  vor respecta condițiile prevăzute în Ghidul specific aferent priorității de invetiții 9.1 POR.</w:t>
      </w:r>
    </w:p>
    <w:p>
      <w:pPr>
        <w:spacing w:line="240" w:lineRule="auto"/>
        <w:jc w:val="both"/>
        <w:rPr>
          <w:rFonts w:ascii="Trebuchet MS" w:hAnsi="Trebuchet MS"/>
          <w:u w:val="single"/>
          <w:lang w:val="ro-RO"/>
        </w:rPr>
      </w:pPr>
      <w:r>
        <w:rPr>
          <w:rFonts w:ascii="Trebuchet MS" w:hAnsi="Trebuchet MS"/>
          <w:u w:val="single"/>
          <w:lang w:val="ro-RO"/>
        </w:rPr>
        <w:t xml:space="preserve">Pentru APELURILE DE PROIECTE POR/2019/9/9.1/1/7REGIUNI </w:t>
      </w:r>
    </w:p>
    <w:p>
      <w:pPr>
        <w:spacing w:line="240" w:lineRule="auto"/>
        <w:jc w:val="both"/>
        <w:rPr>
          <w:rFonts w:ascii="Trebuchet MS" w:hAnsi="Trebuchet MS"/>
          <w:lang w:val="ro-RO"/>
        </w:rPr>
      </w:pPr>
      <w:r>
        <w:rPr>
          <w:rFonts w:ascii="Trebuchet MS" w:hAnsi="Trebuchet MS"/>
          <w:lang w:val="ro-RO"/>
        </w:rPr>
        <w:t>Data lansării cererii de proiecte:   22.10.2019;</w:t>
      </w:r>
    </w:p>
    <w:p>
      <w:pPr>
        <w:spacing w:line="240" w:lineRule="auto"/>
        <w:jc w:val="both"/>
        <w:rPr>
          <w:rFonts w:ascii="Trebuchet MS" w:hAnsi="Trebuchet MS"/>
          <w:lang w:val="ro-RO"/>
        </w:rPr>
      </w:pPr>
      <w:r>
        <w:rPr>
          <w:rFonts w:ascii="Trebuchet MS" w:hAnsi="Trebuchet MS"/>
          <w:lang w:val="ro-RO"/>
        </w:rPr>
        <w:t>Data și ora de începere a depunerii de proiecte:       23.10.2019, ora 10.00;</w:t>
      </w:r>
    </w:p>
    <w:p>
      <w:pPr>
        <w:spacing w:line="240" w:lineRule="auto"/>
        <w:jc w:val="both"/>
        <w:rPr>
          <w:rFonts w:ascii="Trebuchet MS" w:hAnsi="Trebuchet MS"/>
          <w:lang w:val="ro-RO"/>
        </w:rPr>
      </w:pPr>
      <w:r>
        <w:rPr>
          <w:rFonts w:ascii="Trebuchet MS" w:hAnsi="Trebuchet MS"/>
          <w:lang w:val="ro-RO"/>
        </w:rPr>
        <w:t>Data și ora de închidere a depunerii de proiecte:         31.12.2021, ora 10.00.</w:t>
      </w:r>
    </w:p>
    <w:p>
      <w:pPr>
        <w:spacing w:line="240" w:lineRule="auto"/>
        <w:jc w:val="both"/>
        <w:rPr>
          <w:rFonts w:ascii="Trebuchet MS" w:hAnsi="Trebuchet MS"/>
          <w:lang w:val="ro-RO"/>
        </w:rPr>
      </w:pPr>
      <w:r>
        <w:rPr>
          <w:rFonts w:ascii="Trebuchet MS" w:hAnsi="Trebuchet MS"/>
          <w:lang w:val="ro-RO"/>
        </w:rPr>
        <w:t xml:space="preserve">Documentele suport aferente fișelor de proiect  selectate (documentația tehnico-economică) se vor depune în MYSMIS odată cu cererea de finanțare în cadrul apelului lansat de către AMPOR aferent regiunii unde se implementează proiectul. </w:t>
      </w:r>
    </w:p>
    <w:p>
      <w:pPr>
        <w:spacing w:line="240" w:lineRule="auto"/>
        <w:jc w:val="both"/>
        <w:rPr>
          <w:rFonts w:ascii="Trebuchet MS" w:hAnsi="Trebuchet MS"/>
          <w:lang w:val="ro-RO"/>
        </w:rPr>
      </w:pPr>
      <w:r>
        <w:rPr>
          <w:rFonts w:ascii="Trebuchet MS" w:hAnsi="Trebuchet MS"/>
          <w:lang w:val="ro-RO"/>
        </w:rPr>
        <w:t>Prin ghidurile specifice POR, AMPOR va stabili, dacă e cazul, documentele necesare a fi încărcate în MYSMIS, respectiv documentele emise în contextul evaluării și selecției realizate la nivelul GAL-urilor (ex. rapoarte intermediare și finale de selecție, rapoarte tehnice, liste de verificare, etc).</w:t>
      </w:r>
    </w:p>
    <w:p>
      <w:pPr>
        <w:spacing w:line="240" w:lineRule="auto"/>
        <w:jc w:val="both"/>
        <w:rPr>
          <w:rFonts w:ascii="Trebuchet MS" w:hAnsi="Trebuchet MS"/>
          <w:lang w:val="ro-RO"/>
        </w:rPr>
      </w:pPr>
      <w:r>
        <w:rPr>
          <w:rFonts w:ascii="Trebuchet MS" w:hAnsi="Trebuchet MS"/>
          <w:lang w:val="ro-RO"/>
        </w:rPr>
        <w:t xml:space="preserve">Cererile de finanțare/ proiectele vor fi verificate și contractate conform procedurilor AMPOR.  </w:t>
      </w:r>
    </w:p>
    <w:p>
      <w:pPr>
        <w:spacing w:line="240" w:lineRule="auto"/>
        <w:jc w:val="both"/>
        <w:rPr>
          <w:rFonts w:ascii="Trebuchet MS" w:hAnsi="Trebuchet MS"/>
          <w:i/>
          <w:lang w:val="ro-RO"/>
        </w:rPr>
      </w:pPr>
      <w:r>
        <w:rPr>
          <w:rFonts w:ascii="Trebuchet MS" w:hAnsi="Trebuchet MS"/>
          <w:lang w:val="ro-RO"/>
        </w:rPr>
        <w:t xml:space="preserve">În acest context, încă de la lansarea apelurilor de proiecte la nivelul </w:t>
      </w:r>
      <w:r>
        <w:rPr>
          <w:rFonts w:ascii="Trebuchet MS" w:eastAsia="Trebuchet MS" w:hAnsi="Trebuchet MS"/>
        </w:rPr>
        <w:t>GAL Botosani pentru Viitor</w:t>
      </w:r>
      <w:r>
        <w:rPr>
          <w:rFonts w:ascii="Trebuchet MS" w:hAnsi="Trebuchet MS"/>
          <w:lang w:val="ro-RO"/>
        </w:rPr>
        <w:t xml:space="preserve">, potențialii beneficiari vor fi informați cu privire la condițiile pe care trebuie să le îndeplinească la momentul depunerii cererilor de finanțare către AMPOR, în conformitate cu  prevederile </w:t>
      </w:r>
      <w:r>
        <w:rPr>
          <w:rFonts w:ascii="Trebuchet MS" w:hAnsi="Trebuchet MS"/>
          <w:i/>
          <w:lang w:val="ro-RO"/>
        </w:rPr>
        <w:t xml:space="preserve">Ghidului specific aferent priorității de investiți 9.1 și a Ghidului Solicitantului Conditii generale pentru accesarea fondurilor </w:t>
      </w:r>
      <w:r>
        <w:rPr>
          <w:rFonts w:ascii="Trebuchet MS" w:hAnsi="Trebuchet MS"/>
          <w:lang w:val="ro-RO"/>
        </w:rPr>
        <w:t xml:space="preserve">publicat pe site-ul </w:t>
      </w:r>
      <w:hyperlink r:id="rId16" w:history="1">
        <w:r>
          <w:rPr>
            <w:rStyle w:val="Hyperlink"/>
            <w:rFonts w:ascii="Trebuchet MS" w:hAnsi="Trebuchet MS"/>
            <w:lang w:val="ro-RO"/>
          </w:rPr>
          <w:t>www.inforegio.ro</w:t>
        </w:r>
      </w:hyperlink>
      <w:r>
        <w:rPr>
          <w:rFonts w:ascii="Trebuchet MS" w:hAnsi="Trebuchet MS"/>
          <w:i/>
          <w:lang w:val="ro-RO"/>
        </w:rPr>
        <w:t>.</w:t>
      </w:r>
    </w:p>
    <w:p>
      <w:pPr>
        <w:pStyle w:val="Heading3"/>
        <w:keepLines w:val="0"/>
        <w:numPr>
          <w:ilvl w:val="2"/>
          <w:numId w:val="0"/>
        </w:numPr>
        <w:spacing w:before="0" w:line="240" w:lineRule="auto"/>
        <w:ind w:left="1004" w:hanging="720"/>
        <w:jc w:val="both"/>
        <w:rPr>
          <w:rFonts w:ascii="Trebuchet MS" w:hAnsi="Trebuchet MS"/>
          <w:color w:val="auto"/>
        </w:rPr>
      </w:pPr>
      <w:bookmarkStart w:id="85" w:name="_Toc22034177"/>
      <w:bookmarkStart w:id="86" w:name="_Toc41298522"/>
      <w:r>
        <w:rPr>
          <w:rFonts w:ascii="Trebuchet MS" w:hAnsi="Trebuchet MS"/>
          <w:color w:val="auto"/>
        </w:rPr>
        <w:t>ANEXELE OBLIGATORII LA MOMENTUL CONTRACTĂRII CERERII DE</w:t>
      </w:r>
      <w:bookmarkEnd w:id="85"/>
      <w:r>
        <w:rPr>
          <w:rFonts w:ascii="Trebuchet MS" w:hAnsi="Trebuchet MS"/>
          <w:color w:val="auto"/>
        </w:rPr>
        <w:t xml:space="preserve"> FINANȚARE:</w:t>
      </w:r>
      <w:bookmarkEnd w:id="86"/>
    </w:p>
    <w:p>
      <w:pPr>
        <w:spacing w:after="0" w:line="240" w:lineRule="auto"/>
        <w:rPr>
          <w:rFonts w:ascii="Trebuchet MS" w:hAnsi="Trebuchet MS"/>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hAnsi="Trebuchet MS"/>
        </w:rPr>
        <w:t xml:space="preserve">Solicitantul de finanțare va trebui să depună în etapa precontractuală, documentele  stabilite in </w:t>
      </w:r>
      <w:r>
        <w:rPr>
          <w:rFonts w:ascii="Trebuchet MS" w:eastAsiaTheme="minorHAnsi" w:hAnsi="Trebuchet MS" w:cs="Trebuchet MS"/>
          <w:b/>
          <w:bCs/>
          <w:lang w:val="ro-RO"/>
        </w:rPr>
        <w:t xml:space="preserve">GHIDUL SOLICITANTULUI - </w:t>
      </w:r>
      <w:r>
        <w:rPr>
          <w:rFonts w:ascii="Trebuchet MS" w:eastAsiaTheme="minorHAnsi" w:hAnsi="Trebuchet MS" w:cs="Trebuchet MS"/>
          <w:bCs/>
          <w:lang w:val="ro-RO"/>
        </w:rPr>
        <w:t xml:space="preserve">CONDIȚII SPECIFICE DE ACCESARE A FONDURILOR ÎN CADRUL APELURILOR DE PROIECTE POR /2019 /9/ 9.1/ 1/ 7 REGIUNI, POR /2019 /9 /9.1 /1 /BI ȘI POR /2019 /9/ 9.1/ 1/ ÎNTREPRINDERI, AXA PRIORITARA 9 - SPRIJINIREA REGENERĂRII ECONOMICE ȘI SOCIALE A COMUNITĂȚILOR DEFAVORIZATE DIN MEDIUL URBAN, </w:t>
      </w:r>
    </w:p>
    <w:p>
      <w:pPr>
        <w:pStyle w:val="Default"/>
        <w:jc w:val="both"/>
        <w:rPr>
          <w:rFonts w:ascii="Trebuchet MS" w:hAnsi="Trebuchet MS" w:cs="Trebuchet MS"/>
          <w:color w:val="auto"/>
        </w:rPr>
      </w:pPr>
      <w:r>
        <w:rPr>
          <w:rFonts w:ascii="Trebuchet MS" w:hAnsi="Trebuchet MS" w:cs="Trebuchet MS"/>
          <w:bCs/>
          <w:color w:val="auto"/>
          <w:sz w:val="22"/>
          <w:szCs w:val="22"/>
        </w:rPr>
        <w:t>PRIORITATEA DE INVESTITII 9.1 - DEZVOLTARE LOCALĂ SUB RESPONSABILITATEA COMUNITĂȚII (DLRC)</w:t>
      </w:r>
    </w:p>
    <w:p>
      <w:pPr>
        <w:spacing w:after="0" w:line="240" w:lineRule="auto"/>
        <w:jc w:val="both"/>
        <w:rPr>
          <w:rFonts w:ascii="Trebuchet MS" w:hAnsi="Trebuchet MS"/>
          <w:color w:val="1F497D" w:themeColor="text2"/>
        </w:rPr>
      </w:pPr>
    </w:p>
    <w:p>
      <w:pPr>
        <w:pStyle w:val="Heading3"/>
        <w:keepLines w:val="0"/>
        <w:numPr>
          <w:ilvl w:val="2"/>
          <w:numId w:val="0"/>
        </w:numPr>
        <w:spacing w:before="0" w:line="240" w:lineRule="auto"/>
        <w:ind w:left="1004" w:hanging="720"/>
        <w:jc w:val="both"/>
        <w:rPr>
          <w:rFonts w:ascii="Trebuchet MS" w:hAnsi="Trebuchet MS"/>
          <w:color w:val="auto"/>
        </w:rPr>
      </w:pPr>
      <w:bookmarkStart w:id="87" w:name="_Toc19345659"/>
      <w:bookmarkStart w:id="88" w:name="_Toc22911563"/>
      <w:bookmarkStart w:id="89" w:name="_Toc27585473"/>
      <w:bookmarkStart w:id="90" w:name="_Toc41298523"/>
      <w:r>
        <w:rPr>
          <w:rFonts w:ascii="Trebuchet MS" w:hAnsi="Trebuchet MS"/>
          <w:color w:val="auto"/>
        </w:rPr>
        <w:t>ELEMENTE OBLIGATORII DE IDENTITATE VIZUALĂ</w:t>
      </w:r>
      <w:bookmarkEnd w:id="87"/>
      <w:bookmarkEnd w:id="88"/>
      <w:bookmarkEnd w:id="89"/>
      <w:bookmarkEnd w:id="90"/>
    </w:p>
    <w:p>
      <w:pPr>
        <w:spacing w:after="0" w:line="240" w:lineRule="auto"/>
        <w:jc w:val="both"/>
        <w:rPr>
          <w:rFonts w:ascii="Trebuchet MS" w:hAnsi="Trebuchet MS"/>
          <w:sz w:val="24"/>
          <w:szCs w:val="24"/>
          <w:lang w:val="ro-RO"/>
        </w:rPr>
      </w:pP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lastRenderedPageBreak/>
        <w:t xml:space="preserve">Beneficiarul are obligația să asigure o vizibilitate potrivită și o promovare adecvată a obiectivelor, rezultatelor obținute, în conformitate cu prevederile contractuale și cu instrucțiunile cuprinse în Manualul de identitate vizuală al POR, disponibil la adresa </w:t>
      </w:r>
      <w:hyperlink r:id="rId17" w:history="1">
        <w:r>
          <w:rPr>
            <w:rStyle w:val="Hyperlink"/>
            <w:rFonts w:ascii="Trebuchet MS" w:hAnsi="Trebuchet MS"/>
            <w:sz w:val="24"/>
            <w:szCs w:val="24"/>
            <w:lang w:val="ro-RO"/>
          </w:rPr>
          <w:t>www.inforegio.ro</w:t>
        </w:r>
      </w:hyperlink>
      <w:r>
        <w:rPr>
          <w:rFonts w:ascii="Trebuchet MS" w:hAnsi="Trebuchet MS"/>
          <w:sz w:val="24"/>
          <w:szCs w:val="24"/>
          <w:lang w:val="ro-RO"/>
        </w:rPr>
        <w:t xml:space="preserve">. </w:t>
      </w: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Pentru toate echipamentele achiziționate prin proiect, beneficiarul trebuie să aplice la loc vizibil un autocolant în care să se menționeze elementele prevăzute în manualul de identitate vizuală.</w:t>
      </w: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 xml:space="preserve">Beneficiarul va descrie în cadrul rapoartelor de progres toate activitățile de informare și publicitate desfășurate aferente proiectului și va atașa la raport copii după articole de presă, fotografii ale locației proiectului din care să reiasă amplasarea panoului (în timpul executării lucrărilor) și a plăcii definitive (după finalizarea lucrărilor), fotografii ale evenimentelor organizate în cadrul proiectului din care să reiasă respectarea cerințelor de informare și publicitate, copii după publicații etc. </w:t>
      </w:r>
    </w:p>
    <w:p>
      <w:pPr>
        <w:spacing w:after="0" w:line="240" w:lineRule="auto"/>
        <w:ind w:firstLine="720"/>
        <w:jc w:val="both"/>
        <w:rPr>
          <w:rFonts w:ascii="Trebuchet MS" w:hAnsi="Trebuchet MS"/>
          <w:sz w:val="24"/>
          <w:szCs w:val="24"/>
          <w:lang w:val="ro-RO"/>
        </w:rPr>
      </w:pPr>
    </w:p>
    <w:p>
      <w:pPr>
        <w:pStyle w:val="Heading3"/>
        <w:keepLines w:val="0"/>
        <w:numPr>
          <w:ilvl w:val="2"/>
          <w:numId w:val="0"/>
        </w:numPr>
        <w:spacing w:before="0" w:line="240" w:lineRule="auto"/>
        <w:ind w:left="1004" w:hanging="720"/>
        <w:jc w:val="both"/>
        <w:rPr>
          <w:rFonts w:ascii="Trebuchet MS" w:hAnsi="Trebuchet MS"/>
          <w:color w:val="auto"/>
        </w:rPr>
      </w:pPr>
      <w:bookmarkStart w:id="91" w:name="_Toc22911564"/>
      <w:bookmarkStart w:id="92" w:name="_Toc27585474"/>
      <w:bookmarkStart w:id="93" w:name="_Toc41298524"/>
      <w:r>
        <w:rPr>
          <w:rFonts w:ascii="Trebuchet MS" w:hAnsi="Trebuchet MS"/>
          <w:color w:val="auto"/>
        </w:rPr>
        <w:t>MODIFICAREA GHIDULUI SOLICITANTULUI</w:t>
      </w:r>
      <w:bookmarkEnd w:id="91"/>
      <w:bookmarkEnd w:id="92"/>
      <w:bookmarkEnd w:id="93"/>
    </w:p>
    <w:p>
      <w:pPr>
        <w:spacing w:after="0" w:line="240" w:lineRule="auto"/>
        <w:ind w:firstLine="720"/>
        <w:jc w:val="both"/>
        <w:rPr>
          <w:rFonts w:ascii="Trebuchet MS" w:hAnsi="Trebuchet MS"/>
          <w:sz w:val="24"/>
          <w:szCs w:val="24"/>
          <w:lang w:val="es-ES"/>
        </w:rPr>
      </w:pPr>
    </w:p>
    <w:p>
      <w:pPr>
        <w:spacing w:after="0" w:line="240" w:lineRule="auto"/>
        <w:ind w:firstLine="720"/>
        <w:jc w:val="both"/>
        <w:rPr>
          <w:rFonts w:ascii="Trebuchet MS" w:hAnsi="Trebuchet MS"/>
          <w:sz w:val="24"/>
          <w:szCs w:val="24"/>
          <w:lang w:val="ro-RO"/>
        </w:rPr>
      </w:pPr>
      <w:r>
        <w:rPr>
          <w:rFonts w:ascii="Trebuchet MS" w:hAnsi="Trebuchet MS"/>
          <w:sz w:val="24"/>
          <w:szCs w:val="24"/>
          <w:lang w:val="es-ES"/>
        </w:rPr>
        <w:t xml:space="preserve">Modificările la prezentul ghid se vor realiza în conformitate cu </w:t>
      </w:r>
      <w:r>
        <w:rPr>
          <w:rFonts w:ascii="Trebuchet MS" w:hAnsi="Trebuchet MS"/>
          <w:i/>
          <w:sz w:val="24"/>
          <w:szCs w:val="24"/>
          <w:lang w:val="es-ES"/>
        </w:rPr>
        <w:t>secțiunea 9 din cadrul Ghidului solicitantului - Condiții generale de accesare a fondurilor în cadrul POR 2014-2020.</w:t>
      </w:r>
    </w:p>
    <w:p>
      <w:pPr>
        <w:spacing w:after="0" w:line="240" w:lineRule="auto"/>
        <w:ind w:firstLine="720"/>
        <w:jc w:val="both"/>
        <w:rPr>
          <w:rFonts w:ascii="Trebuchet MS" w:hAnsi="Trebuchet MS"/>
          <w:sz w:val="24"/>
          <w:szCs w:val="24"/>
          <w:lang w:val="ro-RO"/>
        </w:rPr>
      </w:pPr>
      <w:r>
        <w:rPr>
          <w:rFonts w:ascii="Trebuchet MS" w:hAnsi="Trebuchet MS"/>
          <w:sz w:val="24"/>
          <w:szCs w:val="24"/>
          <w:lang w:val="es-ES"/>
        </w:rPr>
        <w:t>Conținutul prezentului ghid al solicitantului se completează cu prevederile documentelor naționale și europene în vigoare:</w:t>
      </w:r>
    </w:p>
    <w:p>
      <w:pPr>
        <w:numPr>
          <w:ilvl w:val="0"/>
          <w:numId w:val="41"/>
        </w:numPr>
        <w:spacing w:after="0" w:line="240" w:lineRule="auto"/>
        <w:jc w:val="both"/>
        <w:rPr>
          <w:rFonts w:ascii="Trebuchet MS" w:hAnsi="Trebuchet MS"/>
          <w:sz w:val="24"/>
          <w:szCs w:val="24"/>
        </w:rPr>
      </w:pPr>
      <w:r>
        <w:rPr>
          <w:rFonts w:ascii="Trebuchet MS" w:hAnsi="Trebuchet MS"/>
          <w:sz w:val="24"/>
          <w:szCs w:val="24"/>
        </w:rPr>
        <w:t xml:space="preserve">Strategia de Dezvoltare Locală; </w:t>
      </w:r>
    </w:p>
    <w:p>
      <w:pPr>
        <w:numPr>
          <w:ilvl w:val="0"/>
          <w:numId w:val="41"/>
        </w:numPr>
        <w:spacing w:after="0" w:line="240" w:lineRule="auto"/>
        <w:jc w:val="both"/>
        <w:rPr>
          <w:rFonts w:ascii="Trebuchet MS" w:hAnsi="Trebuchet MS"/>
          <w:sz w:val="24"/>
          <w:szCs w:val="24"/>
        </w:rPr>
      </w:pPr>
      <w:r>
        <w:rPr>
          <w:rFonts w:ascii="Trebuchet MS" w:hAnsi="Trebuchet MS"/>
          <w:sz w:val="24"/>
          <w:szCs w:val="24"/>
        </w:rPr>
        <w:t>Procedura de evaluare și selecție;</w:t>
      </w:r>
    </w:p>
    <w:p>
      <w:pPr>
        <w:numPr>
          <w:ilvl w:val="0"/>
          <w:numId w:val="41"/>
        </w:numPr>
        <w:spacing w:after="0" w:line="240" w:lineRule="auto"/>
        <w:jc w:val="both"/>
        <w:rPr>
          <w:rFonts w:ascii="Trebuchet MS" w:hAnsi="Trebuchet MS"/>
          <w:sz w:val="24"/>
          <w:szCs w:val="24"/>
          <w:lang w:val="es-ES"/>
        </w:rPr>
      </w:pPr>
      <w:r>
        <w:rPr>
          <w:rFonts w:ascii="Trebuchet MS" w:hAnsi="Trebuchet MS"/>
          <w:sz w:val="24"/>
          <w:szCs w:val="24"/>
          <w:lang w:val="es-ES"/>
        </w:rPr>
        <w:t>Documentul ”Orientări pentru Grupurile de Acțiune Locală privind implementarea Strategiilor de Dezvoltare Locală la nivelul orașelor cu peste  20.000 locuitori, Etapa a III-a a mecanismului DLRC”;</w:t>
      </w:r>
    </w:p>
    <w:p>
      <w:pPr>
        <w:numPr>
          <w:ilvl w:val="0"/>
          <w:numId w:val="41"/>
        </w:numPr>
        <w:spacing w:after="0" w:line="240" w:lineRule="auto"/>
        <w:jc w:val="both"/>
        <w:rPr>
          <w:rFonts w:ascii="Trebuchet MS" w:hAnsi="Trebuchet MS"/>
          <w:sz w:val="24"/>
          <w:szCs w:val="24"/>
          <w:lang w:val="es-ES"/>
        </w:rPr>
      </w:pPr>
      <w:r>
        <w:rPr>
          <w:rFonts w:ascii="Trebuchet MS" w:hAnsi="Trebuchet MS"/>
          <w:sz w:val="24"/>
          <w:szCs w:val="24"/>
          <w:lang w:val="es-ES"/>
        </w:rPr>
        <w:t>Ghidul solicitantului - condiții specifice de accesare a fondurilor în cadrul apelurilor de proiecte POR/ 2018/ 9/ 9.1/ 1/ 7 Regiuni, POR/ 2018/ 9/ 9.1/ 1/ BI și POR/ 2018/ 9/ 9.1/ 1/ IMM, axaprioritară  9 - sprijinirea regenerării economice și sociale a comunităților defavorizate din mediul urban, Prioritatea de investiții 9.1 - Dezvoltare locală sub responsabilitatea comunității (DLRC);</w:t>
      </w:r>
    </w:p>
    <w:p>
      <w:pPr>
        <w:numPr>
          <w:ilvl w:val="0"/>
          <w:numId w:val="41"/>
        </w:numPr>
        <w:spacing w:after="0" w:line="240" w:lineRule="auto"/>
        <w:jc w:val="both"/>
        <w:rPr>
          <w:rFonts w:ascii="Trebuchet MS" w:hAnsi="Trebuchet MS"/>
          <w:sz w:val="24"/>
          <w:szCs w:val="24"/>
          <w:lang w:val="es-ES"/>
        </w:rPr>
      </w:pPr>
      <w:r>
        <w:rPr>
          <w:rFonts w:ascii="Trebuchet MS" w:hAnsi="Trebuchet MS"/>
          <w:sz w:val="24"/>
          <w:szCs w:val="24"/>
          <w:lang w:val="es-ES"/>
        </w:rPr>
        <w:t>Ghidul Solicitantului Condiții generale pentru accesarea fondurilor POR 2014-2020;</w:t>
      </w:r>
    </w:p>
    <w:p>
      <w:pPr>
        <w:numPr>
          <w:ilvl w:val="0"/>
          <w:numId w:val="41"/>
        </w:numPr>
        <w:spacing w:after="0" w:line="240" w:lineRule="auto"/>
        <w:jc w:val="both"/>
        <w:rPr>
          <w:rFonts w:ascii="Trebuchet MS" w:hAnsi="Trebuchet MS"/>
          <w:sz w:val="24"/>
          <w:szCs w:val="24"/>
        </w:rPr>
      </w:pPr>
      <w:r>
        <w:rPr>
          <w:rFonts w:ascii="Trebuchet MS" w:hAnsi="Trebuchet MS"/>
          <w:sz w:val="24"/>
          <w:szCs w:val="24"/>
        </w:rPr>
        <w:t>Regulamentul UE nr. 1303/2013;</w:t>
      </w:r>
    </w:p>
    <w:p>
      <w:pPr>
        <w:numPr>
          <w:ilvl w:val="0"/>
          <w:numId w:val="41"/>
        </w:numPr>
        <w:spacing w:after="0" w:line="240" w:lineRule="auto"/>
        <w:jc w:val="both"/>
        <w:rPr>
          <w:rFonts w:ascii="Trebuchet MS" w:hAnsi="Trebuchet MS"/>
          <w:sz w:val="24"/>
          <w:szCs w:val="24"/>
        </w:rPr>
      </w:pPr>
      <w:r>
        <w:rPr>
          <w:rFonts w:ascii="Trebuchet MS" w:hAnsi="Trebuchet MS"/>
          <w:sz w:val="24"/>
          <w:szCs w:val="24"/>
        </w:rPr>
        <w:t>ProgramulOperațional Regional (POR) 2014-2020.</w:t>
      </w:r>
    </w:p>
    <w:p>
      <w:pPr>
        <w:rPr>
          <w:rFonts w:ascii="Trebuchet MS" w:hAnsi="Trebuchet MS"/>
        </w:rPr>
      </w:pPr>
      <w:r>
        <w:rPr>
          <w:rFonts w:ascii="Trebuchet MS" w:hAnsi="Trebuchet MS"/>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rPr>
      </w:pPr>
      <w:bookmarkStart w:id="94" w:name="_Toc41298525"/>
      <w:r>
        <w:rPr>
          <w:rFonts w:ascii="Trebuchet MS" w:hAnsi="Trebuchet MS" w:cs="Arial"/>
          <w:b/>
          <w:sz w:val="28"/>
          <w:szCs w:val="28"/>
        </w:rPr>
        <w:lastRenderedPageBreak/>
        <w:t>CAPITOLUL 5 Lista documentelor ce însoțesc fișa de proiect</w:t>
      </w:r>
      <w:bookmarkEnd w:id="94"/>
    </w:p>
    <w:p>
      <w:pPr>
        <w:spacing w:after="0" w:line="240" w:lineRule="auto"/>
        <w:jc w:val="both"/>
        <w:rPr>
          <w:rFonts w:ascii="Trebuchet MS" w:hAnsi="Trebuchet MS"/>
          <w:sz w:val="24"/>
          <w:szCs w:val="24"/>
        </w:rPr>
      </w:pPr>
      <w:r>
        <w:rPr>
          <w:rFonts w:ascii="Trebuchet MS" w:hAnsi="Trebuchet MS"/>
          <w:sz w:val="24"/>
          <w:szCs w:val="24"/>
        </w:rPr>
        <w:t>Documentele ce vor insoti fisa de proiect sunt .</w:t>
      </w:r>
    </w:p>
    <w:p>
      <w:pPr>
        <w:spacing w:after="0" w:line="240" w:lineRule="auto"/>
        <w:ind w:left="180"/>
        <w:jc w:val="both"/>
        <w:rPr>
          <w:rFonts w:ascii="Trebuchet MS" w:hAnsi="Trebuchet MS"/>
          <w:b/>
          <w:bCs/>
          <w:lang w:val="ro-RO"/>
        </w:rPr>
      </w:pPr>
      <w:r>
        <w:rPr>
          <w:rFonts w:ascii="Trebuchet MS" w:hAnsi="Trebuchet MS"/>
          <w:b/>
          <w:bCs/>
          <w:lang w:val="ro-RO"/>
        </w:rPr>
        <w:t>I. Documente statutare ale solicitantului</w:t>
      </w:r>
    </w:p>
    <w:p>
      <w:pPr>
        <w:autoSpaceDE w:val="0"/>
        <w:autoSpaceDN w:val="0"/>
        <w:adjustRightInd w:val="0"/>
        <w:spacing w:after="0" w:line="240" w:lineRule="auto"/>
        <w:jc w:val="both"/>
        <w:rPr>
          <w:rFonts w:ascii="Trebuchet MS" w:eastAsiaTheme="minorHAnsi" w:hAnsi="Trebuchet MS" w:cs="Trebuchet MS"/>
          <w:lang w:val="ro-RO"/>
        </w:rPr>
      </w:pP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UAT - Hotărârea de constituire a consiliului local al solicitantului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judecătorească de validare a mandatului primarului (sau orice alte documente din care să rezulte calitatea de reprezentant legal, pentru situații particulare),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înfiinţare a serviciilor publice de asistenţă socială la nivel judeţean sau local, precum şi în cazul parteneriatelor, după caz;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înfiinţare a compartimentului de asistenţă socială;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Hotarare de infiintare a unui serviciu social la nivel de institutie publica locala, dupa caz;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Act constitutiv actualizat;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Statut;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Certificatul de înscriere în Registrul asociaţiilor şi fundaţiilor;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judecătorească de înfiinţare, după caz;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Documente pentru unităţile de cult: Statutul sau codul canonic şi actul constitutiv; Documentul de numire sau documentul de constatare a alegerii reprezentantului legal, conform reglementărilor specifice fiecărui cult recunoscut în România. </w:t>
      </w:r>
    </w:p>
    <w:p>
      <w:pPr>
        <w:pStyle w:val="ListParagraph"/>
        <w:numPr>
          <w:ilvl w:val="0"/>
          <w:numId w:val="5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Hotărâre/decizie/alt act administrativ de numire a conducătorului instituției publice locale/entității private; </w:t>
      </w:r>
    </w:p>
    <w:p>
      <w:pPr>
        <w:pStyle w:val="ListParagraph"/>
        <w:numPr>
          <w:ilvl w:val="0"/>
          <w:numId w:val="57"/>
        </w:numPr>
        <w:autoSpaceDE w:val="0"/>
        <w:autoSpaceDN w:val="0"/>
        <w:adjustRightInd w:val="0"/>
        <w:spacing w:after="0" w:line="240" w:lineRule="auto"/>
        <w:jc w:val="both"/>
        <w:rPr>
          <w:rFonts w:ascii="Trebuchet MS" w:eastAsiaTheme="minorHAnsi" w:hAnsi="Trebuchet MS" w:cs="Trebuchet MS"/>
          <w:sz w:val="22"/>
          <w:szCs w:val="22"/>
          <w:lang w:val="ro-RO"/>
        </w:rPr>
      </w:pPr>
      <w:r>
        <w:rPr>
          <w:rFonts w:ascii="Trebuchet MS" w:eastAsiaTheme="minorHAnsi" w:hAnsi="Trebuchet MS" w:cs="Trebuchet MS"/>
          <w:b/>
          <w:bCs/>
          <w:sz w:val="22"/>
          <w:szCs w:val="22"/>
          <w:lang w:val="ro-RO"/>
        </w:rPr>
        <w:t xml:space="preserve">Acordul de parteneriat - </w:t>
      </w:r>
      <w:r>
        <w:rPr>
          <w:rFonts w:ascii="Trebuchet MS" w:eastAsiaTheme="minorHAnsi" w:hAnsi="Trebuchet MS" w:cs="Trebuchet MS"/>
          <w:sz w:val="22"/>
          <w:szCs w:val="22"/>
          <w:lang w:val="ro-RO"/>
        </w:rPr>
        <w:t xml:space="preserve">dacă este cazul, însoțit de Hotărârile de aprobare a proiectului a fiecărui partener și de dovada selectării transparente a partenerului. Acordul de parteneriat va conține cel puțin informațiile obligatorii stipulate de art 34 alin 4 din Normele metodologice la OUG 40/2015 privind gestionarea financiară a fondurilor europene pentru perioada de programare 2014-2020. </w:t>
      </w:r>
    </w:p>
    <w:p>
      <w:pPr>
        <w:spacing w:after="0" w:line="240" w:lineRule="auto"/>
        <w:jc w:val="both"/>
        <w:rPr>
          <w:rFonts w:ascii="Trebuchet MS" w:hAnsi="Trebuchet MS"/>
          <w:color w:val="1F497D" w:themeColor="text2"/>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Documente pentru identificarea reprezentantului legal al solicitantului</w:t>
      </w: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Pentru reprezentantul legal al solicitantului/liderul parteneriatului se va anexa în mod obligatoriu la fișa de proiect o copie a unui document de identificare.</w:t>
      </w:r>
    </w:p>
    <w:p>
      <w:pPr>
        <w:autoSpaceDE w:val="0"/>
        <w:autoSpaceDN w:val="0"/>
        <w:adjustRightInd w:val="0"/>
        <w:spacing w:after="0" w:line="240" w:lineRule="auto"/>
        <w:rPr>
          <w:rFonts w:ascii="Trebuchet MS" w:eastAsiaTheme="minorHAnsi" w:hAnsi="Trebuchet MS" w:cs="Trebuchet MS"/>
          <w:sz w:val="24"/>
          <w:szCs w:val="24"/>
          <w:lang w:val="ro-RO"/>
        </w:rPr>
      </w:pPr>
    </w:p>
    <w:p>
      <w:pPr>
        <w:autoSpaceDE w:val="0"/>
        <w:autoSpaceDN w:val="0"/>
        <w:adjustRightInd w:val="0"/>
        <w:spacing w:after="0" w:line="240" w:lineRule="auto"/>
        <w:rPr>
          <w:rFonts w:ascii="Trebuchet MS" w:eastAsiaTheme="minorHAnsi" w:hAnsi="Trebuchet MS" w:cs="Trebuchet MS"/>
          <w:b/>
          <w:lang w:val="ro-RO"/>
        </w:rPr>
      </w:pPr>
      <w:r>
        <w:rPr>
          <w:rFonts w:ascii="Trebuchet MS" w:eastAsiaTheme="minorHAnsi" w:hAnsi="Trebuchet MS" w:cs="Trebuchet MS"/>
          <w:b/>
          <w:lang w:val="ro-RO"/>
        </w:rPr>
        <w:t xml:space="preserve"> II. Acreditări </w:t>
      </w:r>
    </w:p>
    <w:p>
      <w:pPr>
        <w:spacing w:after="0" w:line="240" w:lineRule="auto"/>
        <w:ind w:firstLine="720"/>
        <w:jc w:val="both"/>
        <w:rPr>
          <w:rFonts w:ascii="Trebuchet MS" w:hAnsi="Trebuchet MS"/>
          <w:lang w:val="ro-RO"/>
        </w:rPr>
      </w:pPr>
      <w:r>
        <w:rPr>
          <w:rFonts w:ascii="Trebuchet MS" w:eastAsiaTheme="minorHAnsi" w:hAnsi="Trebuchet MS" w:cs="Trebuchet MS"/>
          <w:lang w:val="ro-RO"/>
        </w:rPr>
        <w:t>Certificatul de acreditare al solicitantului/unui membru al parteneriatului, eliberat în baza prevederilor Legii nr. 197/2012 privind asigurarea calităţii în domeniul serviciilor sociale, cu modificările şi completările ulterioare, valabil la momentul depunerii fisei de proiec.</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III.Declarație privind neductibilitatea TVA</w:t>
      </w: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Se va utiliza modelul de declaraţie anexat la prezentul ghid, care se va actualiza la momentul elaborării cererii de finanțare/contractării, dacă este cazul.</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lastRenderedPageBreak/>
        <w:t>IV. Declarație de eligibilitate</w:t>
      </w:r>
    </w:p>
    <w:p>
      <w:pPr>
        <w:spacing w:after="0" w:line="240" w:lineRule="auto"/>
        <w:jc w:val="both"/>
        <w:rPr>
          <w:rFonts w:ascii="Trebuchet MS" w:hAnsi="Trebuchet MS"/>
          <w:sz w:val="24"/>
          <w:szCs w:val="24"/>
          <w:lang w:val="ro-RO"/>
        </w:rPr>
      </w:pPr>
      <w:r>
        <w:rPr>
          <w:rFonts w:ascii="Trebuchet MS" w:hAnsi="Trebuchet MS"/>
          <w:sz w:val="24"/>
          <w:szCs w:val="24"/>
          <w:lang w:val="ro-RO"/>
        </w:rPr>
        <w:tab/>
        <w:t>Se va completat conform Anexei – Declarația de eligibilitate.</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 xml:space="preserve">V. Declarația de angajament </w:t>
      </w:r>
    </w:p>
    <w:p>
      <w:pPr>
        <w:spacing w:after="0" w:line="240" w:lineRule="auto"/>
        <w:jc w:val="both"/>
        <w:rPr>
          <w:rFonts w:ascii="Trebuchet MS" w:hAnsi="Trebuchet MS"/>
          <w:sz w:val="24"/>
          <w:szCs w:val="24"/>
          <w:lang w:val="ro-RO"/>
        </w:rPr>
      </w:pPr>
      <w:r>
        <w:rPr>
          <w:rFonts w:ascii="Trebuchet MS" w:hAnsi="Trebuchet MS"/>
          <w:sz w:val="24"/>
          <w:szCs w:val="24"/>
          <w:lang w:val="ro-RO"/>
        </w:rPr>
        <w:tab/>
        <w:t>Se va utiliza modelul de declaraţie de angajament anexat la prezentul ghid, care se va actualiza la momentul elaborării cererii de finanțare/contractării.</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VI.Documente de proprietate</w:t>
      </w:r>
    </w:p>
    <w:p>
      <w:pPr>
        <w:spacing w:after="0" w:line="240" w:lineRule="auto"/>
        <w:jc w:val="both"/>
        <w:rPr>
          <w:rFonts w:ascii="Trebuchet MS" w:hAnsi="Trebuchet MS"/>
          <w:sz w:val="24"/>
          <w:szCs w:val="24"/>
          <w:lang w:val="ro-RO"/>
        </w:rPr>
      </w:pPr>
      <w:r>
        <w:rPr>
          <w:rFonts w:ascii="Trebuchet MS" w:hAnsi="Trebuchet MS"/>
          <w:sz w:val="24"/>
          <w:szCs w:val="24"/>
          <w:lang w:val="ro-RO"/>
        </w:rPr>
        <w:tab/>
        <w:t xml:space="preserve">Solicitanții trebuie să prezinte documentele de mai jos, în termenele maxime specificate, cu privire la drepturile aferente obiectivelor de investiție propuse în cadrul proiectului: </w:t>
      </w:r>
    </w:p>
    <w:p>
      <w:pPr>
        <w:spacing w:after="0" w:line="240" w:lineRule="auto"/>
        <w:jc w:val="both"/>
        <w:rPr>
          <w:rFonts w:ascii="Trebuchet MS" w:hAnsi="Trebuchet MS"/>
          <w:b/>
          <w:color w:val="1F497D" w:themeColor="text2"/>
          <w:sz w:val="24"/>
          <w:szCs w:val="24"/>
          <w:lang w:val="ro-RO"/>
        </w:rPr>
      </w:pPr>
    </w:p>
    <w:p>
      <w:pPr>
        <w:spacing w:after="0" w:line="240" w:lineRule="auto"/>
        <w:jc w:val="both"/>
        <w:rPr>
          <w:rFonts w:ascii="Trebuchet MS" w:hAnsi="Trebuchet MS"/>
          <w:b/>
          <w:sz w:val="24"/>
          <w:szCs w:val="24"/>
          <w:lang w:val="ro-RO"/>
        </w:rPr>
      </w:pPr>
      <w:r>
        <w:rPr>
          <w:rFonts w:ascii="Trebuchet MS" w:hAnsi="Trebuchet MS"/>
          <w:b/>
          <w:sz w:val="24"/>
          <w:szCs w:val="24"/>
          <w:lang w:val="ro-RO"/>
        </w:rPr>
        <w:t>1. Pentru dovedirea dreptului de proprietate publică/privata  asupra imobilului - obiect al proiectului sunt prezentate următoarele documente, după caz:</w:t>
      </w:r>
    </w:p>
    <w:p>
      <w:pPr>
        <w:autoSpaceDE w:val="0"/>
        <w:autoSpaceDN w:val="0"/>
        <w:adjustRightInd w:val="0"/>
        <w:spacing w:after="0" w:line="240" w:lineRule="auto"/>
        <w:rPr>
          <w:rFonts w:ascii="Trebuchet MS" w:eastAsiaTheme="minorHAnsi" w:hAnsi="Trebuchet MS" w:cs="Trebuchet MS"/>
          <w:sz w:val="24"/>
          <w:szCs w:val="24"/>
          <w:lang w:val="ro-RO"/>
        </w:rPr>
      </w:pPr>
    </w:p>
    <w:p>
      <w:pPr>
        <w:autoSpaceDE w:val="0"/>
        <w:autoSpaceDN w:val="0"/>
        <w:adjustRightInd w:val="0"/>
        <w:spacing w:after="135"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Extras de carte funciară, emis cu maximum 30 de zile înaintea depunerii, din care să rezulte intabularea dreptului de proprietate publică asupra imobilului (teren și/sau clădire) și absența sarcinilor incompatibile cu investiția. </w:t>
      </w:r>
    </w:p>
    <w:p>
      <w:pPr>
        <w:autoSpaceDE w:val="0"/>
        <w:autoSpaceDN w:val="0"/>
        <w:adjustRightInd w:val="0"/>
        <w:spacing w:after="135" w:line="240" w:lineRule="auto"/>
        <w:ind w:firstLine="708"/>
        <w:jc w:val="both"/>
        <w:rPr>
          <w:rFonts w:ascii="Trebuchet MS" w:eastAsiaTheme="minorHAnsi" w:hAnsi="Trebuchet MS" w:cs="Trebuchet MS"/>
          <w:lang w:val="ro-RO"/>
        </w:rPr>
      </w:pPr>
      <w:r>
        <w:rPr>
          <w:rFonts w:ascii="Trebuchet MS" w:eastAsiaTheme="minorHAnsi" w:hAnsi="Trebuchet MS" w:cs="Trebuchet MS"/>
          <w:lang w:val="ro-RO"/>
        </w:rPr>
        <w:t xml:space="preserve"> Plan de amplasament vizat de OCPI pentru imobilul pe care se propune a se realiza investiţia în cadrul proiectului. </w:t>
      </w:r>
    </w:p>
    <w:p>
      <w:pPr>
        <w:autoSpaceDE w:val="0"/>
        <w:autoSpaceDN w:val="0"/>
        <w:adjustRightInd w:val="0"/>
        <w:spacing w:after="0" w:line="240" w:lineRule="auto"/>
        <w:jc w:val="both"/>
        <w:rPr>
          <w:rFonts w:ascii="Trebuchet MS" w:eastAsiaTheme="minorHAnsi" w:hAnsi="Trebuchet MS" w:cs="Trebuchet MS"/>
          <w:b/>
          <w:lang w:val="ro-RO"/>
        </w:rPr>
      </w:pPr>
      <w:r>
        <w:rPr>
          <w:rFonts w:ascii="Trebuchet MS" w:eastAsiaTheme="minorHAnsi" w:hAnsi="Trebuchet MS" w:cs="Trebuchet MS"/>
          <w:b/>
          <w:lang w:val="ro-RO"/>
        </w:rPr>
        <w:t xml:space="preserve"> Excepții :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publică, emis cu maximum 30 de zile înaintea depunerii, din care să rezulte înscrierea provizorie a dreptului de proprietate publică şi absența sarcinilor incompatibile cu investiția, cu obligativitatea înscrierii definitive a dreptului de proprietate publică cel mai târziu la data emiterii autorizației de construire aferente proiectului, dar nu mai târziu de un termen de maxim 12 luni de la data intrării în vigoare a contractului de finanțare, în caz contrar contratul de finanțare va fi reziliat;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privată, emis cu maximum 30 de zile înaintea depunerii, din care să rezulte înscrierea provizorie a dreptului de proprietate privata şi absența sarcinilor incompatibile cu investiția, cu obligativitatea înscrierii definitive până în etapa de precontractare.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În situaţia anumitor rețele de utilități publice, pentru dovedirea dreptului de proprietate publică: Hotărârea Guvernului, publicată în Monitorul Oficial al României, conform OUG 57/2019, Legii 287/2009 privind Codul Civil (extras din Monitorul Oficial al României, inclusiv anexele relevante) sau Hotarare de Consiliu Local, dupa caz in condițiile legislației in vigoare sau alte documente de proprietate, pentru cazuri particulare. </w:t>
      </w:r>
    </w:p>
    <w:p>
      <w:pPr>
        <w:autoSpaceDE w:val="0"/>
        <w:autoSpaceDN w:val="0"/>
        <w:adjustRightInd w:val="0"/>
        <w:spacing w:after="0" w:line="240" w:lineRule="auto"/>
        <w:ind w:firstLine="708"/>
        <w:jc w:val="both"/>
        <w:rPr>
          <w:rFonts w:ascii="Trebuchet MS" w:eastAsiaTheme="minorHAnsi" w:hAnsi="Trebuchet MS" w:cs="Trebuchet MS"/>
          <w:b/>
          <w:lang w:val="ro-RO"/>
        </w:rPr>
      </w:pPr>
      <w:r>
        <w:rPr>
          <w:rFonts w:ascii="Trebuchet MS" w:eastAsiaTheme="minorHAnsi" w:hAnsi="Trebuchet MS" w:cs="Trebuchet MS"/>
          <w:lang w:val="ro-RO"/>
        </w:rPr>
        <w:t xml:space="preserve">2 </w:t>
      </w:r>
      <w:r>
        <w:rPr>
          <w:rFonts w:ascii="Trebuchet MS" w:eastAsiaTheme="minorHAnsi" w:hAnsi="Trebuchet MS" w:cs="Trebuchet MS"/>
          <w:b/>
          <w:lang w:val="ro-RO"/>
        </w:rPr>
        <w:t xml:space="preserve">Pentru dovedirea </w:t>
      </w:r>
      <w:r>
        <w:rPr>
          <w:rFonts w:ascii="Trebuchet MS" w:eastAsiaTheme="minorHAnsi" w:hAnsi="Trebuchet MS" w:cs="Trebuchet MS"/>
          <w:b/>
          <w:bCs/>
          <w:lang w:val="ro-RO"/>
        </w:rPr>
        <w:t xml:space="preserve">dreptului de administrare </w:t>
      </w:r>
      <w:r>
        <w:rPr>
          <w:rFonts w:ascii="Trebuchet MS" w:eastAsiaTheme="minorHAnsi" w:hAnsi="Trebuchet MS" w:cs="Trebuchet MS"/>
          <w:b/>
          <w:lang w:val="ro-RO"/>
        </w:rPr>
        <w:t xml:space="preserve">sunt prezentate următoarele tipuri de documente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cererii de finanțare din care să rezulte intabularea dreptului de administrare şi absența sarcinilor incompatibile cu investiția.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lastRenderedPageBreak/>
        <w:t xml:space="preserve"> </w:t>
      </w:r>
      <w:r>
        <w:rPr>
          <w:rFonts w:ascii="Trebuchet MS" w:eastAsiaTheme="minorHAnsi" w:hAnsi="Trebuchet MS" w:cs="Trebuchet MS"/>
          <w:lang w:val="ro-RO"/>
        </w:rPr>
        <w:t xml:space="preserve">Plan de amplasament vizat de OCPI pentru imobilul pe care se propune a se realiza investiţia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Hotărârea prin care să se demonstreze că solicitantul este administratorul legal al imobilului obiect al investiţiei/proiectului, conform prevederilor legale în vigoare.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Menținerea acestui drept va acoperi inclusiv perioada de durabilitate a contractului de finanţare.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ind w:firstLine="708"/>
        <w:jc w:val="both"/>
        <w:rPr>
          <w:rFonts w:ascii="Trebuchet MS" w:eastAsiaTheme="minorHAnsi" w:hAnsi="Trebuchet MS" w:cs="Trebuchet MS"/>
          <w:lang w:val="ro-RO"/>
        </w:rPr>
      </w:pPr>
      <w:r>
        <w:rPr>
          <w:rFonts w:ascii="Trebuchet MS" w:eastAsiaTheme="minorHAnsi" w:hAnsi="Trebuchet MS" w:cs="Trebuchet MS"/>
          <w:b/>
          <w:lang w:val="ro-RO"/>
        </w:rPr>
        <w:t xml:space="preserve">3 Pentru dovedirea </w:t>
      </w:r>
      <w:r>
        <w:rPr>
          <w:rFonts w:ascii="Trebuchet MS" w:eastAsiaTheme="minorHAnsi" w:hAnsi="Trebuchet MS" w:cs="Trebuchet MS"/>
          <w:b/>
          <w:bCs/>
          <w:lang w:val="ro-RO"/>
        </w:rPr>
        <w:t xml:space="preserve">dreptului de concesiune </w:t>
      </w:r>
      <w:r>
        <w:rPr>
          <w:rFonts w:ascii="Trebuchet MS" w:eastAsiaTheme="minorHAnsi" w:hAnsi="Trebuchet MS" w:cs="Trebuchet MS"/>
          <w:lang w:val="ro-RO"/>
        </w:rPr>
        <w:t xml:space="preserve">se va prezenta, în mod obligatoriu,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cerereii de finanțare din care să rezulte intabularea dreptului de concesiune şi absența sarcinilor incompatibile cu investiția. </w:t>
      </w:r>
    </w:p>
    <w:p>
      <w:pPr>
        <w:autoSpaceDE w:val="0"/>
        <w:autoSpaceDN w:val="0"/>
        <w:adjustRightInd w:val="0"/>
        <w:spacing w:after="128" w:line="240" w:lineRule="auto"/>
        <w:jc w:val="both"/>
        <w:rPr>
          <w:rFonts w:ascii="Trebuchet MS" w:eastAsiaTheme="minorHAnsi" w:hAnsi="Trebuchet MS" w:cs="Trebuchet MS"/>
          <w:lang w:val="ro-RO"/>
        </w:rPr>
      </w:pP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Plan de amplasament vizat de OCPI pentru imobilul pe care se propune a se realiza investiţia în cadrul proiectului. </w:t>
      </w:r>
    </w:p>
    <w:p>
      <w:pPr>
        <w:autoSpaceDE w:val="0"/>
        <w:autoSpaceDN w:val="0"/>
        <w:adjustRightInd w:val="0"/>
        <w:spacing w:after="128"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Actul juridic prin care se transmite/se asigură dreptul de concesiune, conform prevederilor legale în vigoare. Menținerea acestui drept va acoperi inclusiv perioada de durabilitate a contractului de finanţare;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b/>
          <w:lang w:val="ro-RO"/>
        </w:rPr>
      </w:pPr>
      <w:r>
        <w:rPr>
          <w:rFonts w:ascii="Trebuchet MS" w:eastAsiaTheme="minorHAnsi" w:hAnsi="Trebuchet MS" w:cs="Trebuchet MS"/>
          <w:b/>
          <w:lang w:val="ro-RO"/>
        </w:rPr>
        <w:t>VII.</w:t>
      </w:r>
      <w:r>
        <w:rPr>
          <w:rFonts w:ascii="Trebuchet MS" w:hAnsi="Trebuchet MS"/>
          <w:b/>
          <w:sz w:val="24"/>
          <w:szCs w:val="24"/>
          <w:lang w:val="ro-RO"/>
        </w:rPr>
        <w:t xml:space="preserve"> Bugetul estimativ al  proiectului</w:t>
      </w:r>
    </w:p>
    <w:p>
      <w:pPr>
        <w:spacing w:after="0" w:line="240" w:lineRule="auto"/>
        <w:jc w:val="both"/>
        <w:rPr>
          <w:rFonts w:ascii="Trebuchet MS" w:hAnsi="Trebuchet MS"/>
          <w:b/>
          <w:bCs/>
          <w:sz w:val="24"/>
          <w:szCs w:val="24"/>
          <w:lang w:val="ro-RO"/>
        </w:rPr>
      </w:pPr>
      <w:r>
        <w:rPr>
          <w:rFonts w:ascii="Trebuchet MS" w:hAnsi="Trebuchet MS"/>
          <w:b/>
          <w:sz w:val="24"/>
          <w:szCs w:val="24"/>
          <w:lang w:val="ro-RO"/>
        </w:rPr>
        <w:t xml:space="preserve">VIII </w:t>
      </w:r>
      <w:r>
        <w:rPr>
          <w:rFonts w:ascii="Trebuchet MS" w:hAnsi="Trebuchet MS"/>
          <w:b/>
          <w:bCs/>
          <w:sz w:val="24"/>
          <w:szCs w:val="24"/>
          <w:lang w:val="ro-RO"/>
        </w:rPr>
        <w:t>Consimțământul privind prelucrarea datelor cu caracter personal</w:t>
      </w:r>
    </w:p>
    <w:p>
      <w:pPr>
        <w:rPr>
          <w:rFonts w:ascii="Trebuchet MS" w:hAnsi="Trebuchet MS"/>
          <w:b/>
          <w:bCs/>
          <w:sz w:val="24"/>
          <w:szCs w:val="24"/>
          <w:lang w:val="ro-RO"/>
        </w:rPr>
      </w:pPr>
      <w:r>
        <w:rPr>
          <w:rFonts w:ascii="Trebuchet MS" w:hAnsi="Trebuchet MS"/>
          <w:b/>
          <w:bCs/>
          <w:sz w:val="24"/>
          <w:szCs w:val="24"/>
          <w:lang w:val="ro-RO"/>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rPr>
      </w:pPr>
      <w:bookmarkStart w:id="95" w:name="_Toc41298526"/>
      <w:r>
        <w:rPr>
          <w:rFonts w:ascii="Trebuchet MS" w:hAnsi="Trebuchet MS" w:cs="Arial"/>
          <w:b/>
          <w:sz w:val="28"/>
          <w:szCs w:val="28"/>
        </w:rPr>
        <w:lastRenderedPageBreak/>
        <w:t>CAPITOLUL 6 Lista anexelor prezentului ghid</w:t>
      </w:r>
      <w:bookmarkEnd w:id="95"/>
    </w:p>
    <w:p>
      <w:pPr>
        <w:pStyle w:val="ListParagraph"/>
        <w:spacing w:after="0" w:line="240" w:lineRule="auto"/>
        <w:ind w:left="360"/>
        <w:outlineLvl w:val="0"/>
        <w:rPr>
          <w:rFonts w:ascii="Trebuchet MS" w:hAnsi="Trebuchet MS"/>
          <w:b/>
          <w:bCs/>
          <w:sz w:val="24"/>
          <w:szCs w:val="24"/>
          <w:lang w:val="ro-RO"/>
        </w:rPr>
      </w:pPr>
    </w:p>
    <w:p>
      <w:pPr>
        <w:spacing w:after="0" w:line="240" w:lineRule="auto"/>
        <w:jc w:val="both"/>
        <w:rPr>
          <w:rFonts w:ascii="Trebuchet MS" w:hAnsi="Trebuchet MS"/>
          <w:sz w:val="24"/>
          <w:szCs w:val="24"/>
        </w:rPr>
      </w:pPr>
      <w:r>
        <w:rPr>
          <w:rFonts w:ascii="Trebuchet MS" w:hAnsi="Trebuchet MS"/>
          <w:sz w:val="24"/>
          <w:szCs w:val="24"/>
        </w:rPr>
        <w:t>Prezentul ghid include urmatoarele anexe.</w:t>
      </w:r>
    </w:p>
    <w:p>
      <w:pPr>
        <w:spacing w:after="0" w:line="240" w:lineRule="auto"/>
        <w:jc w:val="both"/>
        <w:rPr>
          <w:rFonts w:ascii="Trebuchet MS" w:hAnsi="Trebuchet MS"/>
          <w:sz w:val="24"/>
          <w:szCs w:val="24"/>
        </w:rPr>
      </w:pPr>
      <w:r>
        <w:rPr>
          <w:rFonts w:ascii="Trebuchet MS" w:hAnsi="Trebuchet MS"/>
          <w:sz w:val="24"/>
          <w:szCs w:val="24"/>
        </w:rPr>
        <w:t>Anexa 1 - Formularul Fisei de proiect CLLD -POR</w:t>
      </w:r>
    </w:p>
    <w:p>
      <w:pPr>
        <w:spacing w:after="0" w:line="240" w:lineRule="auto"/>
        <w:jc w:val="both"/>
        <w:rPr>
          <w:rFonts w:ascii="Trebuchet MS" w:hAnsi="Trebuchet MS"/>
          <w:sz w:val="24"/>
          <w:szCs w:val="24"/>
        </w:rPr>
      </w:pPr>
      <w:r>
        <w:rPr>
          <w:rFonts w:ascii="Trebuchet MS" w:hAnsi="Trebuchet MS"/>
          <w:sz w:val="24"/>
          <w:szCs w:val="24"/>
        </w:rPr>
        <w:t>Anexa 2 - Declaratie de eligibilitate</w:t>
      </w:r>
    </w:p>
    <w:p>
      <w:pPr>
        <w:spacing w:after="0" w:line="240" w:lineRule="auto"/>
        <w:jc w:val="both"/>
        <w:rPr>
          <w:rFonts w:ascii="Trebuchet MS" w:hAnsi="Trebuchet MS"/>
          <w:sz w:val="24"/>
          <w:szCs w:val="24"/>
        </w:rPr>
      </w:pPr>
      <w:r>
        <w:rPr>
          <w:rFonts w:ascii="Trebuchet MS" w:hAnsi="Trebuchet MS"/>
          <w:sz w:val="24"/>
          <w:szCs w:val="24"/>
        </w:rPr>
        <w:t>Anexa 3 - Declaratie angajament</w:t>
      </w:r>
    </w:p>
    <w:p>
      <w:pPr>
        <w:spacing w:after="0" w:line="240" w:lineRule="auto"/>
        <w:jc w:val="both"/>
        <w:rPr>
          <w:rFonts w:ascii="Trebuchet MS" w:hAnsi="Trebuchet MS"/>
          <w:sz w:val="24"/>
          <w:szCs w:val="24"/>
        </w:rPr>
      </w:pPr>
      <w:r>
        <w:rPr>
          <w:rFonts w:ascii="Trebuchet MS" w:hAnsi="Trebuchet MS"/>
          <w:sz w:val="24"/>
          <w:szCs w:val="24"/>
        </w:rPr>
        <w:t>Anexa 4 - Consimtamant privind prelucrarea datelor cu caracter personal</w:t>
      </w:r>
    </w:p>
    <w:p>
      <w:pPr>
        <w:spacing w:after="0" w:line="240" w:lineRule="auto"/>
        <w:jc w:val="both"/>
        <w:rPr>
          <w:rFonts w:ascii="Trebuchet MS" w:hAnsi="Trebuchet MS"/>
          <w:sz w:val="24"/>
          <w:szCs w:val="24"/>
        </w:rPr>
      </w:pPr>
      <w:r>
        <w:rPr>
          <w:rFonts w:ascii="Trebuchet MS" w:hAnsi="Trebuchet MS"/>
          <w:sz w:val="24"/>
          <w:szCs w:val="24"/>
        </w:rPr>
        <w:t>Anexa 5 - Model buget fisa de proiect</w:t>
      </w:r>
    </w:p>
    <w:p>
      <w:pPr>
        <w:spacing w:after="0" w:line="240" w:lineRule="auto"/>
        <w:jc w:val="both"/>
        <w:rPr>
          <w:rFonts w:ascii="Trebuchet MS" w:hAnsi="Trebuchet MS"/>
          <w:sz w:val="24"/>
          <w:szCs w:val="24"/>
        </w:rPr>
      </w:pPr>
      <w:r>
        <w:rPr>
          <w:rFonts w:ascii="Trebuchet MS" w:hAnsi="Trebuchet MS"/>
          <w:sz w:val="24"/>
          <w:szCs w:val="24"/>
        </w:rPr>
        <w:t>Anexa 6 - Acord de parteneriat</w:t>
      </w:r>
    </w:p>
    <w:p>
      <w:pPr>
        <w:spacing w:after="0" w:line="240" w:lineRule="auto"/>
        <w:jc w:val="both"/>
        <w:rPr>
          <w:rFonts w:ascii="Trebuchet MS" w:hAnsi="Trebuchet MS"/>
          <w:sz w:val="24"/>
          <w:szCs w:val="24"/>
        </w:rPr>
      </w:pPr>
      <w:r>
        <w:rPr>
          <w:rFonts w:ascii="Trebuchet MS" w:hAnsi="Trebuchet MS"/>
          <w:sz w:val="24"/>
          <w:szCs w:val="24"/>
        </w:rPr>
        <w:t>Anexa 7 -  Declaratie privind eligibilitatea TVA</w:t>
      </w:r>
    </w:p>
    <w:p>
      <w:pPr>
        <w:spacing w:after="0" w:line="240" w:lineRule="auto"/>
        <w:jc w:val="both"/>
        <w:rPr>
          <w:rFonts w:ascii="Trebuchet MS" w:hAnsi="Trebuchet MS"/>
          <w:sz w:val="24"/>
          <w:szCs w:val="24"/>
        </w:rPr>
      </w:pPr>
      <w:r>
        <w:rPr>
          <w:rFonts w:ascii="Trebuchet MS" w:hAnsi="Trebuchet MS"/>
          <w:sz w:val="24"/>
          <w:szCs w:val="24"/>
        </w:rPr>
        <w:t>Anexa 8 - Grila de verificare CAE</w:t>
      </w:r>
    </w:p>
    <w:p>
      <w:pPr>
        <w:spacing w:after="0" w:line="240" w:lineRule="auto"/>
        <w:jc w:val="both"/>
        <w:rPr>
          <w:rFonts w:ascii="Trebuchet MS" w:hAnsi="Trebuchet MS"/>
          <w:sz w:val="24"/>
          <w:szCs w:val="24"/>
        </w:rPr>
      </w:pPr>
      <w:r>
        <w:rPr>
          <w:rFonts w:ascii="Trebuchet MS" w:hAnsi="Trebuchet MS"/>
          <w:sz w:val="24"/>
          <w:szCs w:val="24"/>
        </w:rPr>
        <w:t>Anexa 9 - Grila de verificare ETF</w:t>
      </w:r>
    </w:p>
    <w:p>
      <w:pPr>
        <w:spacing w:after="0" w:line="240" w:lineRule="auto"/>
        <w:jc w:val="both"/>
        <w:rPr>
          <w:rFonts w:ascii="Trebuchet MS" w:hAnsi="Trebuchet MS"/>
          <w:sz w:val="24"/>
          <w:szCs w:val="24"/>
        </w:rPr>
      </w:pPr>
    </w:p>
    <w:p>
      <w:pPr>
        <w:spacing w:after="0" w:line="240" w:lineRule="auto"/>
        <w:jc w:val="both"/>
        <w:rPr>
          <w:rFonts w:ascii="Trebuchet MS" w:hAnsi="Trebuchet MS"/>
          <w:sz w:val="24"/>
          <w:szCs w:val="24"/>
          <w:lang w:val="ro-RO"/>
        </w:rPr>
      </w:pPr>
      <w:r>
        <w:rPr>
          <w:rFonts w:ascii="Trebuchet MS" w:hAnsi="Trebuchet MS"/>
          <w:color w:val="C0504D" w:themeColor="accent2"/>
          <w:sz w:val="24"/>
          <w:szCs w:val="24"/>
          <w:lang w:val="ro-RO"/>
        </w:rPr>
        <w:tab/>
      </w:r>
    </w:p>
    <w:p>
      <w:pPr>
        <w:keepNext/>
        <w:spacing w:before="240" w:after="120" w:line="240" w:lineRule="auto"/>
        <w:ind w:left="576" w:hanging="576"/>
        <w:outlineLvl w:val="1"/>
        <w:rPr>
          <w:rFonts w:ascii="Trebuchet MS" w:eastAsia="Times New Roman" w:hAnsi="Trebuchet MS" w:cs="Arial"/>
          <w:sz w:val="24"/>
          <w:szCs w:val="28"/>
          <w:lang w:val="ro-RO"/>
        </w:rPr>
      </w:pPr>
      <w:bookmarkStart w:id="96" w:name="_Toc19554671"/>
      <w:bookmarkStart w:id="97" w:name="_Toc22832122"/>
      <w:bookmarkStart w:id="98" w:name="_Toc41298527"/>
      <w:r>
        <w:rPr>
          <w:rFonts w:ascii="Trebuchet MS" w:eastAsia="Times New Roman" w:hAnsi="Trebuchet MS" w:cs="Arial"/>
          <w:sz w:val="24"/>
          <w:szCs w:val="28"/>
          <w:lang w:val="ro-RO"/>
        </w:rPr>
        <w:t>Anexa 1- Formularul Fișei de proiect</w:t>
      </w:r>
      <w:bookmarkEnd w:id="96"/>
      <w:bookmarkEnd w:id="97"/>
      <w:bookmarkEnd w:id="98"/>
    </w:p>
    <w:p>
      <w:pPr>
        <w:tabs>
          <w:tab w:val="center" w:pos="4320"/>
          <w:tab w:val="left" w:pos="4965"/>
          <w:tab w:val="right" w:pos="8640"/>
          <w:tab w:val="right" w:pos="10773"/>
        </w:tabs>
        <w:spacing w:before="120" w:after="120" w:line="240" w:lineRule="auto"/>
        <w:contextualSpacing/>
        <w:jc w:val="center"/>
        <w:rPr>
          <w:rFonts w:ascii="Trebuchet MS" w:eastAsia="Times New Roman" w:hAnsi="Trebuchet MS"/>
          <w:b/>
          <w:lang w:val="ro-RO"/>
        </w:rPr>
      </w:pPr>
      <w:r>
        <w:rPr>
          <w:rFonts w:ascii="Trebuchet MS" w:eastAsia="Times New Roman" w:hAnsi="Trebuchet MS"/>
          <w:b/>
          <w:lang w:val="ro-RO"/>
        </w:rPr>
        <w:t>PROGRAMUL OPERAȚIONAL REGIONAL</w:t>
      </w:r>
    </w:p>
    <w:p>
      <w:pPr>
        <w:tabs>
          <w:tab w:val="center" w:pos="4320"/>
          <w:tab w:val="left" w:pos="4965"/>
          <w:tab w:val="right" w:pos="8640"/>
          <w:tab w:val="right" w:pos="10773"/>
        </w:tabs>
        <w:spacing w:before="120" w:after="120" w:line="240" w:lineRule="auto"/>
        <w:jc w:val="center"/>
        <w:rPr>
          <w:rFonts w:ascii="Trebuchet MS" w:eastAsia="Times New Roman" w:hAnsi="Trebuchet MS" w:cs="Trebuchet MS"/>
          <w:lang w:val="ro-RO"/>
        </w:rPr>
      </w:pPr>
      <w:r>
        <w:rPr>
          <w:rFonts w:ascii="Trebuchet MS" w:eastAsia="Times New Roman" w:hAnsi="Trebuchet MS"/>
          <w:b/>
          <w:lang w:val="ro-RO"/>
        </w:rPr>
        <w:t>DEZVOLTARE LOCALĂ PLASATĂ SUB RESPONSABILITATEA COMUNITĂŢII</w:t>
      </w:r>
    </w:p>
    <w:p>
      <w:pPr>
        <w:tabs>
          <w:tab w:val="center" w:pos="4320"/>
          <w:tab w:val="left" w:pos="4965"/>
          <w:tab w:val="right" w:pos="8640"/>
          <w:tab w:val="right" w:pos="10773"/>
        </w:tabs>
        <w:spacing w:before="120" w:after="120" w:line="240" w:lineRule="auto"/>
        <w:jc w:val="center"/>
        <w:rPr>
          <w:rFonts w:ascii="Trebuchet MS" w:eastAsia="Times New Roman" w:hAnsi="Trebuchet MS"/>
          <w:b/>
          <w:lang w:val="ro-RO"/>
        </w:rPr>
      </w:pPr>
      <w:r>
        <w:rPr>
          <w:rFonts w:ascii="Trebuchet MS" w:eastAsia="Times New Roman" w:hAnsi="Trebuchet MS"/>
          <w:b/>
          <w:lang w:val="ro-RO"/>
        </w:rPr>
        <w:t>Fișa de proiect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96"/>
        <w:gridCol w:w="6246"/>
      </w:tblGrid>
      <w:tr>
        <w:trPr>
          <w:trHeight w:val="82"/>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Denumirea instituției solicitante:</w:t>
            </w:r>
          </w:p>
        </w:tc>
        <w:tc>
          <w:tcPr>
            <w:tcW w:w="3379" w:type="pct"/>
            <w:tcBorders>
              <w:top w:val="single" w:sz="4" w:space="0" w:color="auto"/>
              <w:left w:val="single" w:sz="4" w:space="0" w:color="auto"/>
              <w:bottom w:val="single" w:sz="4" w:space="0" w:color="auto"/>
              <w:right w:val="single" w:sz="4" w:space="0" w:color="auto"/>
            </w:tcBorders>
            <w:hideMark/>
          </w:tcPr>
          <w:p>
            <w:pPr>
              <w:spacing w:before="120" w:after="120" w:line="240" w:lineRule="auto"/>
              <w:rPr>
                <w:rFonts w:ascii="Trebuchet MS" w:eastAsia="Times New Roman" w:hAnsi="Trebuchet MS"/>
                <w:sz w:val="20"/>
                <w:szCs w:val="24"/>
                <w:lang w:val="ro-RO" w:eastAsia="ro-RO"/>
              </w:rPr>
            </w:pPr>
            <w:r>
              <w:rPr>
                <w:rFonts w:ascii="Trebuchet MS" w:eastAsia="Times New Roman" w:hAnsi="Trebuchet MS"/>
                <w:i/>
                <w:sz w:val="20"/>
                <w:szCs w:val="24"/>
                <w:lang w:val="ro-RO" w:eastAsia="ro-RO"/>
              </w:rPr>
              <w:t>(Conform beneficiarilor eligibili menționați în ghid).</w:t>
            </w:r>
          </w:p>
        </w:tc>
      </w:tr>
      <w:tr>
        <w:trPr>
          <w:trHeight w:val="291"/>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 xml:space="preserve">Persoană de contact </w:t>
            </w:r>
          </w:p>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(inclusiv date de contact):</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sz w:val="20"/>
                <w:szCs w:val="24"/>
                <w:lang w:val="ro-RO" w:eastAsia="ro-RO"/>
              </w:rPr>
            </w:pP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Denumire/tip de instituții partenere şi datele lor de contact</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sz w:val="20"/>
                <w:szCs w:val="24"/>
                <w:lang w:val="ro-RO" w:eastAsia="ro-RO"/>
              </w:rPr>
            </w:pPr>
          </w:p>
        </w:tc>
      </w:tr>
      <w:tr>
        <w:trPr>
          <w:trHeight w:val="70"/>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Titlul proiectului:</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sz w:val="20"/>
                <w:szCs w:val="24"/>
                <w:lang w:val="ro-RO" w:eastAsia="ro-RO"/>
              </w:rPr>
            </w:pP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 xml:space="preserve">Valoarea totală estimată a proiectului: </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 xml:space="preserve">Se va menționa valoarea totală, estimată  în lei, a proiectului. </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 xml:space="preserve">NOTĂ: </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Valoarea totală estimată a proiectului va fi calculată în funcţie de rezultatele așteptate și activităţile planificate. Se recomandă, totodată, să se aibă în vedere o estimare cât mai realistă a valorii totale a proiectului.</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Verificarea modului de calcul a valorii totale estimate în raport cu rezultatele și activitățile proiectului se va face ulterior, după depunerea cererii de finanțare</w:t>
            </w:r>
          </w:p>
        </w:tc>
      </w:tr>
      <w:tr>
        <w:trPr>
          <w:trHeight w:val="224"/>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lastRenderedPageBreak/>
              <w:t>Durata estimată a proiectului:</w:t>
            </w:r>
          </w:p>
        </w:tc>
        <w:tc>
          <w:tcPr>
            <w:tcW w:w="3379" w:type="pct"/>
            <w:tcBorders>
              <w:top w:val="single" w:sz="4" w:space="0" w:color="auto"/>
              <w:left w:val="single" w:sz="4" w:space="0" w:color="auto"/>
              <w:bottom w:val="single" w:sz="4" w:space="0" w:color="auto"/>
              <w:right w:val="single" w:sz="4" w:space="0" w:color="auto"/>
            </w:tcBorders>
            <w:hideMark/>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Se va estima durata totală, în luni, a proiectului</w:t>
            </w: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Zona vizată de proiect:</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Se va menționa zona vizată de proiect, cu delimitarea acesteia, (la nivel de străzi, cartier, bariere naturale (dacă e  cazul) etc.)</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NOTĂ: Este necesar ca proiectul să vizeze cel puțin o zonă urbană marginalizată</w:t>
            </w:r>
            <w:r>
              <w:rPr>
                <w:rFonts w:ascii="Trebuchet MS" w:eastAsia="Times New Roman" w:hAnsi="Trebuchet MS"/>
                <w:i/>
                <w:sz w:val="20"/>
                <w:szCs w:val="24"/>
                <w:vertAlign w:val="superscript"/>
                <w:lang w:val="ro-RO" w:eastAsia="ro-RO"/>
              </w:rPr>
              <w:footnoteReference w:id="2"/>
            </w:r>
            <w:r>
              <w:rPr>
                <w:rFonts w:ascii="Trebuchet MS" w:eastAsia="Times New Roman" w:hAnsi="Trebuchet MS"/>
                <w:i/>
                <w:sz w:val="20"/>
                <w:szCs w:val="24"/>
                <w:lang w:val="ro-RO" w:eastAsia="ro-RO"/>
              </w:rPr>
              <w:t xml:space="preserve">, fără a se limita doar la aceasta.   </w:t>
            </w: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Populația vizată de proiect:</w:t>
            </w:r>
          </w:p>
        </w:tc>
        <w:tc>
          <w:tcPr>
            <w:tcW w:w="3379" w:type="pct"/>
            <w:tcBorders>
              <w:top w:val="single" w:sz="4" w:space="0" w:color="auto"/>
              <w:left w:val="single" w:sz="4" w:space="0" w:color="auto"/>
              <w:bottom w:val="single" w:sz="4" w:space="0" w:color="auto"/>
              <w:right w:val="single" w:sz="4" w:space="0" w:color="auto"/>
            </w:tcBorders>
            <w:hideMark/>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 xml:space="preserve">Se va estima dimensiunea totală a populației vizate de proiect (inclusiv a celei nemarginalizate). </w:t>
            </w:r>
          </w:p>
        </w:tc>
      </w:tr>
    </w:tbl>
    <w:p>
      <w:pPr>
        <w:spacing w:before="120" w:after="120" w:line="240" w:lineRule="auto"/>
        <w:rPr>
          <w:rFonts w:ascii="Trebuchet MS" w:eastAsia="Times New Roman" w:hAnsi="Trebuchet MS"/>
          <w:sz w:val="20"/>
          <w:szCs w:val="24"/>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1.Proiectul propus contribuie la atingerea obiectivului specific al programului, respectiv: </w:t>
      </w:r>
    </w:p>
    <w:p>
      <w:pPr>
        <w:shd w:val="clear" w:color="auto" w:fill="1D1B11" w:themeFill="background2" w:themeFillShade="1A"/>
        <w:spacing w:before="120" w:after="120" w:line="240" w:lineRule="auto"/>
        <w:rPr>
          <w:rFonts w:ascii="Trebuchet MS" w:eastAsia="Times New Roman" w:hAnsi="Trebuchet MS"/>
          <w:i/>
          <w:sz w:val="20"/>
          <w:szCs w:val="24"/>
          <w:lang w:val="ro-RO"/>
        </w:rPr>
      </w:pPr>
      <w:r>
        <w:rPr>
          <w:rFonts w:ascii="Trebuchet MS" w:eastAsia="Times New Roman" w:hAnsi="Trebuchet MS"/>
          <w:b/>
          <w:sz w:val="20"/>
          <w:szCs w:val="24"/>
          <w:lang w:val="ro-RO"/>
        </w:rPr>
        <w:t xml:space="preserve">OS91 </w:t>
      </w:r>
      <w:r>
        <w:rPr>
          <w:rFonts w:ascii="Trebuchet MS" w:eastAsia="Times New Roman" w:hAnsi="Trebuchet MS"/>
          <w:i/>
          <w:sz w:val="20"/>
          <w:szCs w:val="24"/>
          <w:lang w:val="ro-RO"/>
        </w:rPr>
        <w:t>Reducerea numărului de persoane aflate în risc de sărăcie şi excluziune socială, prin măsuri integrate</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r>
              <w:rPr>
                <w:rFonts w:ascii="Trebuchet MS" w:hAnsi="Trebuchet MS"/>
                <w:i/>
                <w:lang w:val="ro-RO" w:eastAsia="ro-RO"/>
              </w:rPr>
              <w:t xml:space="preserve">Faceti o estimare a numărului de persoane marginalizate care vor beneficia de aceste măsuri. </w:t>
            </w:r>
          </w:p>
          <w:p>
            <w:pPr>
              <w:spacing w:before="120" w:line="240" w:lineRule="auto"/>
              <w:ind w:firstLine="720"/>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2. Menționați principalele rezultate (obiective)  pe care proiectul își propune să îl atingă </w:t>
      </w:r>
    </w:p>
    <w:tbl>
      <w:tblPr>
        <w:tblW w:w="0" w:type="auto"/>
        <w:tblLook w:val="04A0" w:firstRow="1" w:lastRow="0" w:firstColumn="1" w:lastColumn="0" w:noHBand="0" w:noVBand="1"/>
      </w:tblPr>
      <w:tblGrid>
        <w:gridCol w:w="9242"/>
      </w:tblGrid>
      <w:tr>
        <w:trPr>
          <w:trHeight w:val="70"/>
        </w:trPr>
        <w:tc>
          <w:tcPr>
            <w:tcW w:w="9730"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b/>
          <w:sz w:val="20"/>
          <w:szCs w:val="24"/>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lastRenderedPageBreak/>
        <w:t>3. Cum propune proiectul să realizeze schimbarea anticipată?</w:t>
      </w:r>
    </w:p>
    <w:tbl>
      <w:tblPr>
        <w:tblW w:w="0" w:type="auto"/>
        <w:tblLook w:val="04A0" w:firstRow="1" w:lastRow="0" w:firstColumn="1" w:lastColumn="0" w:noHBand="0" w:noVBand="1"/>
      </w:tblPr>
      <w:tblGrid>
        <w:gridCol w:w="9242"/>
      </w:tblGrid>
      <w:tr>
        <w:trPr>
          <w:trHeight w:val="784"/>
        </w:trP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lang w:val="ro-RO" w:eastAsia="ro-RO"/>
              </w:rPr>
            </w:pPr>
            <w:r>
              <w:rPr>
                <w:rFonts w:ascii="Trebuchet MS" w:hAnsi="Trebuchet MS"/>
                <w:i/>
                <w:lang w:val="ro-RO" w:eastAsia="ro-RO"/>
              </w:rPr>
              <w:t xml:space="preserve">(Pentru fiecare rezultat pe care proiectul își propune să îl atingă și care a fost menționat la punctul 2, enumerați </w:t>
            </w:r>
            <w:r>
              <w:rPr>
                <w:rFonts w:ascii="Trebuchet MS" w:hAnsi="Trebuchet MS"/>
                <w:i/>
                <w:u w:val="single"/>
                <w:lang w:val="ro-RO" w:eastAsia="ro-RO"/>
              </w:rPr>
              <w:t>principalele</w:t>
            </w:r>
            <w:r>
              <w:rPr>
                <w:rFonts w:ascii="Trebuchet MS" w:hAnsi="Trebuchet MS"/>
                <w:i/>
                <w:lang w:val="ro-RO" w:eastAsia="ro-RO"/>
              </w:rPr>
              <w:t xml:space="preserve"> activități precum și o descriere </w:t>
            </w:r>
            <w:r>
              <w:rPr>
                <w:rFonts w:ascii="Trebuchet MS" w:hAnsi="Trebuchet MS"/>
                <w:i/>
                <w:u w:val="single"/>
                <w:lang w:val="ro-RO" w:eastAsia="ro-RO"/>
              </w:rPr>
              <w:t>concisă</w:t>
            </w:r>
            <w:r>
              <w:rPr>
                <w:rFonts w:ascii="Trebuchet MS" w:hAnsi="Trebuchet MS"/>
                <w:i/>
                <w:lang w:val="ro-RO" w:eastAsia="ro-RO"/>
              </w:rPr>
              <w:t xml:space="preserve"> a acestora în maxim 20 de rânduri).</w:t>
            </w: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b/>
          <w:sz w:val="20"/>
          <w:szCs w:val="24"/>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4. Indicatori de realizare ai programului </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lang w:val="ro-RO" w:eastAsia="ro-RO"/>
              </w:rPr>
            </w:pPr>
            <w:r>
              <w:rPr>
                <w:rFonts w:ascii="Trebuchet MS" w:hAnsi="Trebuchet MS"/>
                <w:i/>
                <w:lang w:val="ro-RO" w:eastAsia="ro-RO"/>
              </w:rPr>
              <w:t>(Bifați indicatorul și/sau indicatorii de realizare din program care vor fi utilizați pentru a măsura intervențiile descrise mai sus, inclusiv o estimare a țintei)</w:t>
            </w:r>
          </w:p>
          <w:p>
            <w:pPr>
              <w:tabs>
                <w:tab w:val="left" w:pos="3543"/>
                <w:tab w:val="left" w:pos="7086"/>
                <w:tab w:val="left" w:pos="10630"/>
              </w:tabs>
              <w:spacing w:before="120" w:line="240" w:lineRule="auto"/>
              <w:ind w:left="720"/>
              <w:rPr>
                <w:rFonts w:ascii="Trebuchet MS" w:hAnsi="Trebuchet MS"/>
                <w:lang w:val="fr-FR" w:eastAsia="ro-RO"/>
              </w:rPr>
            </w:pPr>
            <w:r>
              <w:rPr>
                <w:rFonts w:ascii="Trebuchet MS" w:hAnsi="Trebuchet MS"/>
                <w:noProof/>
                <w:lang w:val="ro-RO" w:eastAsia="ro-RO"/>
              </w:rPr>
              <w:pict>
                <v:rect id="Rectangle 14" o:spid="_x0000_s1029" style="position:absolute;left:0;text-align:left;margin-left:4.85pt;margin-top:.2pt;width:22.5pt;height:9.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" filled="f" strokecolor="#2f528f" strokeweight="1pt"/>
              </w:pict>
            </w:r>
            <w:r>
              <w:rPr>
                <w:rFonts w:ascii="Trebuchet MS" w:hAnsi="Trebuchet MS"/>
                <w:lang w:val="fr-FR" w:eastAsia="ro-RO"/>
              </w:rPr>
              <w:t>Spațiideschisecreatesaureabilitateînzoneleurbane -</w:t>
            </w:r>
          </w:p>
          <w:p>
            <w:pPr>
              <w:tabs>
                <w:tab w:val="left" w:pos="3543"/>
                <w:tab w:val="left" w:pos="7086"/>
                <w:tab w:val="left" w:pos="10630"/>
              </w:tabs>
              <w:spacing w:before="120" w:line="240" w:lineRule="auto"/>
              <w:ind w:left="720"/>
              <w:rPr>
                <w:rFonts w:ascii="Trebuchet MS" w:hAnsi="Trebuchet MS"/>
                <w:lang w:val="fr-FR" w:eastAsia="ro-RO"/>
              </w:rPr>
            </w:pPr>
            <w:r>
              <w:rPr>
                <w:rFonts w:ascii="Trebuchet MS" w:hAnsi="Trebuchet MS"/>
                <w:lang w:val="fr-FR" w:eastAsia="ro-RO"/>
              </w:rPr>
              <w:t>estimarețintă:……………metripătrați</w:t>
            </w:r>
          </w:p>
          <w:p>
            <w:pPr>
              <w:tabs>
                <w:tab w:val="left" w:pos="3543"/>
                <w:tab w:val="left" w:pos="7086"/>
                <w:tab w:val="left" w:pos="10630"/>
              </w:tabs>
              <w:spacing w:before="120" w:line="240" w:lineRule="auto"/>
              <w:ind w:left="720"/>
              <w:rPr>
                <w:rFonts w:ascii="Trebuchet MS" w:hAnsi="Trebuchet MS"/>
                <w:lang w:val="fr-FR" w:eastAsia="ro-RO"/>
              </w:rPr>
            </w:pPr>
            <w:r>
              <w:rPr>
                <w:rFonts w:ascii="Trebuchet MS" w:hAnsi="Trebuchet MS"/>
                <w:noProof/>
                <w:lang w:val="ro-RO" w:eastAsia="ro-RO"/>
              </w:rPr>
              <w:pict>
                <v:rect id="Rectangle 13" o:spid="_x0000_s1030" style="position:absolute;left:0;text-align:left;margin-left:4.4pt;margin-top:16.6pt;width:22.95pt;height:10.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" filled="f" strokecolor="#2f528f" strokeweight="1pt"/>
              </w:pict>
            </w:r>
          </w:p>
          <w:p>
            <w:pPr>
              <w:tabs>
                <w:tab w:val="left" w:pos="3543"/>
                <w:tab w:val="left" w:pos="7086"/>
                <w:tab w:val="left" w:pos="10630"/>
              </w:tabs>
              <w:spacing w:before="120" w:line="240" w:lineRule="auto"/>
              <w:ind w:left="720"/>
              <w:rPr>
                <w:rFonts w:ascii="Trebuchet MS" w:hAnsi="Trebuchet MS"/>
                <w:lang w:val="fr-FR" w:eastAsia="ro-RO"/>
              </w:rPr>
            </w:pPr>
            <w:r>
              <w:rPr>
                <w:rFonts w:ascii="Trebuchet MS" w:hAnsi="Trebuchet MS"/>
                <w:lang w:val="fr-FR" w:eastAsia="ro-RO"/>
              </w:rPr>
              <w:t xml:space="preserve">Clădiripublicesaucomerciale construite saurenovateînzoneleurbane – </w:t>
            </w:r>
          </w:p>
          <w:p>
            <w:pPr>
              <w:tabs>
                <w:tab w:val="left" w:pos="3543"/>
                <w:tab w:val="left" w:pos="7086"/>
                <w:tab w:val="left" w:pos="10630"/>
              </w:tabs>
              <w:spacing w:before="120" w:line="240" w:lineRule="auto"/>
              <w:ind w:left="720"/>
              <w:rPr>
                <w:rFonts w:ascii="Trebuchet MS" w:hAnsi="Trebuchet MS"/>
                <w:lang w:val="ro-RO" w:eastAsia="ro-RO"/>
              </w:rPr>
            </w:pPr>
            <w:r>
              <w:rPr>
                <w:rFonts w:ascii="Trebuchet MS" w:hAnsi="Trebuchet MS"/>
                <w:lang w:val="ro-RO" w:eastAsia="ro-RO"/>
              </w:rPr>
              <w:t>estimare țintă:……………metri pătrați</w:t>
            </w: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5. Evaluarea stadiului de maturitate al proiectului</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(Bifați căsuțele corespunzătoare în cazul existenţei unor studii preliminare)</w:t>
            </w:r>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w:pict>
                <v:rect id="Rectangle 10" o:spid="_x0000_s1031" style="position:absolute;margin-left:5.75pt;margin-top:2.4pt;width:13.5pt;height:5.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" fillcolor="#4472c4" strokecolor="#2f528f" strokeweight="1pt"/>
              </w:pict>
            </w:r>
            <w:r>
              <w:rPr>
                <w:rFonts w:ascii="Trebuchet MS" w:hAnsi="Trebuchet MS"/>
                <w:noProof/>
                <w:lang w:val="ro-RO" w:eastAsia="ro-RO"/>
              </w:rPr>
              <w:pict>
                <v:rect id="Rectangle 9" o:spid="_x0000_s1032" style="position:absolute;margin-left:5.45pt;margin-top:20.7pt;width:14.4pt;height:6.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" fillcolor="#4472c4" strokecolor="#2f528f" strokeweight="1pt"/>
              </w:pict>
            </w:r>
            <w:r>
              <w:rPr>
                <w:rFonts w:ascii="Trebuchet MS" w:hAnsi="Trebuchet MS"/>
                <w:i/>
                <w:lang w:val="fr-FR" w:eastAsia="ro-RO"/>
              </w:rPr>
              <w:t>studiu de fezabilitate</w:t>
            </w:r>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w:pict>
                <v:rect id="Rectangle 1" o:spid="_x0000_s1026" style="position:absolute;margin-left:5.6pt;margin-top:21.45pt;width:13.5pt;height:6.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" fillcolor="#4f81bd" strokecolor="#385d8a" strokeweight="2pt"/>
              </w:pict>
            </w:r>
            <w:r>
              <w:rPr>
                <w:rFonts w:ascii="Trebuchet MS" w:hAnsi="Trebuchet MS"/>
                <w:i/>
                <w:lang w:val="fr-FR" w:eastAsia="ro-RO"/>
              </w:rPr>
              <w:t>studii de piaţă</w:t>
            </w:r>
          </w:p>
          <w:p>
            <w:pPr>
              <w:tabs>
                <w:tab w:val="left" w:pos="3543"/>
                <w:tab w:val="left" w:pos="7086"/>
                <w:tab w:val="left" w:pos="10630"/>
              </w:tabs>
              <w:spacing w:before="120" w:line="240" w:lineRule="auto"/>
              <w:rPr>
                <w:rFonts w:ascii="Trebuchet MS" w:hAnsi="Trebuchet MS"/>
                <w:i/>
                <w:lang w:val="fr-FR" w:eastAsia="ro-RO"/>
              </w:rPr>
            </w:pPr>
            <w:r>
              <w:rPr>
                <w:rFonts w:ascii="Trebuchet MS" w:hAnsi="Trebuchet MS"/>
                <w:i/>
                <w:lang w:val="fr-FR" w:eastAsia="ro-RO"/>
              </w:rPr>
              <w:t>proiecttehnicşidetalii de execuţie</w:t>
            </w:r>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w:pict>
                <v:rect id="Rectangle 11" o:spid="_x0000_s1027" style="position:absolute;margin-left:4.85pt;margin-top:3.35pt;width:14.4pt;height:6.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" fillcolor="#4472c4" strokecolor="#2f528f" strokeweight="1pt"/>
              </w:pict>
            </w:r>
            <w:r>
              <w:rPr>
                <w:rFonts w:ascii="Trebuchet MS" w:hAnsi="Trebuchet MS"/>
                <w:i/>
                <w:lang w:val="fr-FR" w:eastAsia="ro-RO"/>
              </w:rPr>
              <w:t>contract de lucrări</w:t>
            </w:r>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w:pict>
                <v:rect id="Rectangle 12" o:spid="_x0000_s1028" style="position:absolute;margin-left:5.6pt;margin-top:4.4pt;width:14.1pt;height: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" fillcolor="#4472c4" strokecolor="#2f528f" strokeweight="1pt"/>
              </w:pict>
            </w:r>
            <w:r>
              <w:rPr>
                <w:rFonts w:ascii="Trebuchet MS" w:hAnsi="Trebuchet MS"/>
                <w:i/>
                <w:lang w:val="ro-RO" w:eastAsia="ro-RO"/>
              </w:rPr>
              <w:t>altele (specificaţişiprezentaţi pe scurt informaţiile cuprinse în acestea)</w:t>
            </w: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spacing w:before="120" w:after="120" w:line="240" w:lineRule="auto"/>
        <w:rPr>
          <w:rFonts w:ascii="Trebuchet MS" w:eastAsia="Times New Roman" w:hAnsi="Trebuchet MS"/>
          <w:i/>
          <w:sz w:val="20"/>
          <w:szCs w:val="24"/>
          <w:lang w:val="ro-RO"/>
        </w:rPr>
      </w:pPr>
      <w:r>
        <w:rPr>
          <w:rFonts w:ascii="Trebuchet MS" w:eastAsia="Times New Roman" w:hAnsi="Trebuchet MS"/>
          <w:b/>
          <w:sz w:val="20"/>
          <w:szCs w:val="24"/>
          <w:lang w:val="ro-RO"/>
        </w:rPr>
        <w:t>6. Încadrarea proiectului în documentele strategice naționale relevante</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r>
              <w:rPr>
                <w:rFonts w:ascii="Trebuchet MS" w:hAnsi="Trebuchet MS"/>
                <w:i/>
                <w:lang w:val="ro-RO" w:eastAsia="ro-RO"/>
              </w:rPr>
              <w:t xml:space="preserve">(Precizaţi căror obiective /acțiuni din Strategia naţională privind incluziunea socială şi reducerea sărăciei pentru perioada 2015-2020, adoptată prin HG 383/2015, Strategia guvernului României de incluziune a cetăţenilor români aparţinândminorităţii romilor 2014-2020, planurilor de dezvoltare regională, sau din alte strategii relevante în domeniu, le corespund obiectivele proiectului). </w:t>
            </w: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cs="Trebuchet MS"/>
          <w:i/>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7. Grupurile țintă vizate</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r>
              <w:rPr>
                <w:rFonts w:ascii="Trebuchet MS" w:hAnsi="Trebuchet MS"/>
                <w:i/>
                <w:lang w:val="ro-RO" w:eastAsia="ro-RO"/>
              </w:rPr>
              <w:t xml:space="preserve">Identificați </w:t>
            </w:r>
            <w:r>
              <w:rPr>
                <w:rFonts w:ascii="Trebuchet MS" w:hAnsi="Trebuchet MS"/>
                <w:i/>
                <w:u w:val="single"/>
                <w:lang w:val="ro-RO" w:eastAsia="ro-RO"/>
              </w:rPr>
              <w:t>grupurile țintă</w:t>
            </w:r>
            <w:r>
              <w:rPr>
                <w:rFonts w:ascii="Trebuchet MS" w:hAnsi="Trebuchet MS"/>
                <w:i/>
                <w:lang w:val="ro-RO" w:eastAsia="ro-RO"/>
              </w:rPr>
              <w:t xml:space="preserve"> vizate de proiectul propus (de ex.: NEETs, copii în situații de risc, persoane vârstnice, populație de etnie romă etc.).</w:t>
            </w: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8. Identificarea problemelor la nivelul grupului țintă</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r>
              <w:rPr>
                <w:rFonts w:ascii="Trebuchet MS" w:hAnsi="Trebuchet MS"/>
                <w:i/>
                <w:lang w:val="ro-RO" w:eastAsia="ro-RO"/>
              </w:rPr>
              <w:t>(Pentru fiecare grup țintă prezentat anterior, identificați principalele probleme care determină nevoia pentru proiectul propus)</w:t>
            </w: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9. Modalitățile de rezolvare a problemelor grupului țintă</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lastRenderedPageBreak/>
              <w:t>(Pentru fiecare problemă identificată anterior, descrieți modalitatea în care proiectul ar sprijini efectiv grupurile țintă)</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10. Complementaritatea între investiţieşi măsurile soft, de tip FSE </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11. Surse de finanţare</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(Se va specifica suma totală defalcată pe surse – POR, buget local, buget de stat, contribuţie proprie, alte surse)</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12. Sustenabilitate</w:t>
      </w:r>
    </w:p>
    <w:tbl>
      <w:tblPr>
        <w:tblW w:w="0" w:type="auto"/>
        <w:tblLook w:val="04A0" w:firstRow="1" w:lastRow="0" w:firstColumn="1" w:lastColumn="0" w:noHBand="0" w:noVBand="1"/>
      </w:tblPr>
      <w:tblGrid>
        <w:gridCol w:w="9242"/>
      </w:tblGrid>
      <w:tr>
        <w:trPr>
          <w:trHeight w:val="668"/>
        </w:trP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(Se va detalia modul în care va fi gestionată/finanțată infrastructura după încheierea perioadei de finanţare DLRC)</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13. Respectarea principiilor orizontale privind nediscriminarea, egalitatea de gen si dezvoltarea durabila</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lang w:val="ro-RO" w:eastAsia="ro-RO"/>
              </w:rPr>
            </w:pPr>
            <w:r>
              <w:rPr>
                <w:rFonts w:ascii="Trebuchet MS" w:hAnsi="Trebuchet MS"/>
                <w:i/>
                <w:lang w:val="ro-RO" w:eastAsia="ro-RO"/>
              </w:rPr>
              <w:t>(Se va detalia contributia proiectului la respectarea principiilor orizontale)</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hd w:val="clear" w:color="auto" w:fill="1D1B11" w:themeFill="background2" w:themeFillShade="1A"/>
        <w:tabs>
          <w:tab w:val="left" w:pos="3543"/>
          <w:tab w:val="left" w:pos="7086"/>
          <w:tab w:val="left" w:pos="10630"/>
        </w:tabs>
        <w:spacing w:before="120" w:after="120" w:line="240" w:lineRule="auto"/>
        <w:rPr>
          <w:rFonts w:ascii="Trebuchet MS" w:eastAsia="MS Mincho" w:hAnsi="Trebuchet MS" w:cs="Trebuchet MS"/>
          <w:b/>
          <w:sz w:val="20"/>
          <w:szCs w:val="24"/>
          <w:lang w:val="ro-RO"/>
        </w:rPr>
      </w:pPr>
      <w:r>
        <w:rPr>
          <w:rFonts w:ascii="Trebuchet MS" w:eastAsia="Times New Roman" w:hAnsi="Trebuchet MS"/>
          <w:b/>
          <w:sz w:val="20"/>
          <w:szCs w:val="24"/>
          <w:lang w:val="ro-RO"/>
        </w:rPr>
        <w:lastRenderedPageBreak/>
        <w:t xml:space="preserve">14. Riscuri estimate </w:t>
      </w:r>
    </w:p>
    <w:tbl>
      <w:tblPr>
        <w:tblW w:w="0" w:type="auto"/>
        <w:tblLook w:val="04A0" w:firstRow="1" w:lastRow="0" w:firstColumn="1" w:lastColumn="0" w:noHBand="0" w:noVBand="1"/>
      </w:tblPr>
      <w:tblGrid>
        <w:gridCol w:w="9242"/>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(Se vor estima riscurile, inclusiv cele de implementare a proiectului, cu evidențierea măsurilor de contracarare a potențialelor riscuri de segregare: rezidenţială ,educaţională, etc).</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MS Mincho" w:hAnsi="Trebuchet MS" w:cs="Trebuchet MS"/>
          <w:i/>
          <w:sz w:val="20"/>
          <w:szCs w:val="24"/>
          <w:lang w:val="ro-RO"/>
        </w:rPr>
      </w:pPr>
      <w:r>
        <w:rPr>
          <w:rFonts w:ascii="Trebuchet MS" w:eastAsia="Times New Roman" w:hAnsi="Trebuchet MS"/>
          <w:i/>
          <w:sz w:val="20"/>
          <w:szCs w:val="24"/>
          <w:lang w:val="ro-RO"/>
        </w:rPr>
        <w:t xml:space="preserve">(Acest formular nu constituie o cerere de finanțare pentru POR. </w:t>
      </w:r>
    </w:p>
    <w:p>
      <w:pPr>
        <w:spacing w:before="120" w:after="120" w:line="240" w:lineRule="auto"/>
        <w:rPr>
          <w:rFonts w:ascii="Trebuchet MS" w:eastAsia="Times New Roman" w:hAnsi="Trebuchet MS"/>
          <w:i/>
          <w:sz w:val="20"/>
          <w:szCs w:val="24"/>
          <w:lang w:val="ro-RO"/>
        </w:rPr>
      </w:pPr>
      <w:r>
        <w:rPr>
          <w:rFonts w:ascii="Trebuchet MS" w:eastAsia="Times New Roman" w:hAnsi="Trebuchet MS"/>
          <w:i/>
          <w:sz w:val="20"/>
          <w:szCs w:val="24"/>
          <w:lang w:val="ro-RO"/>
        </w:rPr>
        <w:t xml:space="preserve">Fișele de proiect vor face obiectul procesului de evaluare și selecție organizat la nivelul GAL, în vederea selectării proiectelor care vor fi propuse pentru finanțare POR). </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Reprezentant legal,</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w:t>
      </w:r>
      <w:r>
        <w:rPr>
          <w:rFonts w:ascii="Trebuchet MS" w:eastAsia="MS Gothic" w:hAnsi="Trebuchet MS"/>
          <w:i/>
          <w:sz w:val="20"/>
          <w:szCs w:val="24"/>
          <w:lang w:val="ro-RO"/>
        </w:rPr>
        <w:t>Nume și prenume, semnătură, ștampila instituției)</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______________________</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Data:</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(Zz/ll/aaaa)</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__/__/____</w:t>
      </w:r>
    </w:p>
    <w:p>
      <w:pPr>
        <w:spacing w:before="120" w:after="120" w:line="240" w:lineRule="auto"/>
        <w:jc w:val="both"/>
        <w:rPr>
          <w:rFonts w:ascii="Trebuchet MS" w:eastAsia="Times New Roman" w:hAnsi="Trebuchet MS"/>
          <w:sz w:val="20"/>
          <w:szCs w:val="24"/>
          <w:lang w:val="ro-RO"/>
        </w:rPr>
      </w:pPr>
    </w:p>
    <w:p>
      <w:pPr>
        <w:spacing w:after="0" w:line="240" w:lineRule="auto"/>
        <w:rPr>
          <w:rFonts w:ascii="Trebuchet MS" w:eastAsia="Times New Roman" w:hAnsi="Trebuchet MS"/>
          <w:sz w:val="20"/>
          <w:szCs w:val="24"/>
          <w:lang w:val="ro-RO"/>
        </w:rPr>
      </w:pPr>
      <w:r>
        <w:rPr>
          <w:rFonts w:ascii="Trebuchet MS" w:eastAsia="Times New Roman" w:hAnsi="Trebuchet MS"/>
          <w:sz w:val="20"/>
          <w:szCs w:val="24"/>
          <w:lang w:val="ro-RO"/>
        </w:rPr>
        <w:br w:type="page"/>
      </w:r>
    </w:p>
    <w:p>
      <w:pPr>
        <w:keepNext/>
        <w:spacing w:before="240" w:after="120" w:line="240" w:lineRule="auto"/>
        <w:ind w:left="576" w:hanging="576"/>
        <w:outlineLvl w:val="1"/>
        <w:rPr>
          <w:rFonts w:ascii="Trebuchet MS" w:eastAsia="Times New Roman" w:hAnsi="Trebuchet MS" w:cs="Arial"/>
          <w:sz w:val="24"/>
          <w:szCs w:val="28"/>
          <w:lang w:val="ro-RO"/>
        </w:rPr>
      </w:pPr>
      <w:bookmarkStart w:id="99" w:name="_Toc19554672"/>
      <w:bookmarkStart w:id="100" w:name="_Toc22832123"/>
      <w:bookmarkStart w:id="101" w:name="_Toc41298528"/>
      <w:r>
        <w:rPr>
          <w:rFonts w:ascii="Trebuchet MS" w:eastAsia="Times New Roman" w:hAnsi="Trebuchet MS" w:cs="Arial"/>
          <w:sz w:val="24"/>
          <w:szCs w:val="28"/>
          <w:lang w:val="ro-RO"/>
        </w:rPr>
        <w:lastRenderedPageBreak/>
        <w:t>Anexa 2 - Declarația de eligibilitate - model</w:t>
      </w:r>
      <w:bookmarkEnd w:id="99"/>
      <w:bookmarkEnd w:id="100"/>
      <w:bookmarkEnd w:id="101"/>
    </w:p>
    <w:p>
      <w:pPr>
        <w:spacing w:before="120" w:after="120" w:line="240" w:lineRule="auto"/>
        <w:jc w:val="center"/>
        <w:rPr>
          <w:rFonts w:ascii="Trebuchet MS" w:eastAsia="Times New Roman" w:hAnsi="Trebuchet MS"/>
          <w:b/>
          <w:bCs/>
          <w:snapToGrid w:val="0"/>
          <w:sz w:val="24"/>
          <w:szCs w:val="24"/>
          <w:lang w:val="ro-RO"/>
        </w:rPr>
      </w:pPr>
      <w:r>
        <w:rPr>
          <w:rFonts w:ascii="Trebuchet MS" w:eastAsia="Times New Roman" w:hAnsi="Trebuchet MS"/>
          <w:b/>
          <w:bCs/>
          <w:snapToGrid w:val="0"/>
          <w:sz w:val="24"/>
          <w:szCs w:val="24"/>
          <w:lang w:val="ro-RO"/>
        </w:rPr>
        <w:t>Declaraţia de eligibilitate</w:t>
      </w:r>
    </w:p>
    <w:p>
      <w:pPr>
        <w:spacing w:before="120" w:after="120" w:line="240" w:lineRule="auto"/>
        <w:jc w:val="both"/>
        <w:rPr>
          <w:rFonts w:ascii="Trebuchet MS" w:eastAsia="Times New Roman" w:hAnsi="Trebuchet MS"/>
          <w:b/>
          <w:bCs/>
          <w:i/>
          <w:iCs/>
          <w:snapToGrid w:val="0"/>
          <w:sz w:val="20"/>
          <w:szCs w:val="20"/>
          <w:lang w:val="ro-RO"/>
        </w:rPr>
      </w:pPr>
    </w:p>
    <w:p>
      <w:pPr>
        <w:spacing w:before="120" w:after="120" w:line="240" w:lineRule="auto"/>
        <w:jc w:val="both"/>
        <w:rPr>
          <w:rFonts w:ascii="Trebuchet MS" w:eastAsia="Times New Roman" w:hAnsi="Trebuchet MS"/>
          <w:b/>
          <w:bCs/>
          <w:i/>
          <w:iCs/>
          <w:snapToGrid w:val="0"/>
          <w:sz w:val="20"/>
          <w:szCs w:val="20"/>
          <w:lang w:val="ro-RO"/>
        </w:rPr>
      </w:pPr>
      <w:r>
        <w:rPr>
          <w:rFonts w:ascii="Trebuchet MS" w:eastAsia="Times New Roman" w:hAnsi="Trebuchet MS"/>
          <w:b/>
          <w:bCs/>
          <w:i/>
          <w:iCs/>
          <w:snapToGrid w:val="0"/>
          <w:sz w:val="20"/>
          <w:szCs w:val="20"/>
          <w:lang w:val="ro-RO"/>
        </w:rPr>
        <w:t xml:space="preserve">Acest model se va completa de către reprezentantul legal al solicitantului, inclusiv de către membrii parteneriatului </w:t>
      </w:r>
    </w:p>
    <w:p>
      <w:pPr>
        <w:spacing w:before="120" w:after="120" w:line="240" w:lineRule="auto"/>
        <w:jc w:val="both"/>
        <w:rPr>
          <w:rFonts w:ascii="Trebuchet MS" w:eastAsia="Times New Roman" w:hAnsi="Trebuchet MS"/>
          <w:snapToGrid w:val="0"/>
          <w:sz w:val="20"/>
          <w:szCs w:val="20"/>
          <w:lang w:val="ro-RO"/>
        </w:rPr>
      </w:pPr>
      <w:r>
        <w:rPr>
          <w:rFonts w:ascii="Trebuchet MS" w:eastAsia="Times New Roman" w:hAnsi="Trebuchet MS"/>
          <w:snapToGrid w:val="0"/>
          <w:sz w:val="20"/>
          <w:szCs w:val="20"/>
          <w:lang w:val="ro-RO"/>
        </w:rPr>
        <w:t xml:space="preserve">Subsemnatul </w:t>
      </w:r>
      <w:r>
        <w:rPr>
          <w:rFonts w:ascii="Trebuchet MS" w:eastAsia="Times New Roman" w:hAnsi="Trebuchet MS" w:cs="Arial"/>
          <w:i/>
          <w:iCs/>
          <w:sz w:val="20"/>
          <w:szCs w:val="20"/>
          <w:lang w:val="ro-RO" w:eastAsia="sk-SK"/>
        </w:rPr>
        <w:t>…</w:t>
      </w:r>
      <w:r>
        <w:rPr>
          <w:rFonts w:ascii="Trebuchet MS" w:eastAsia="Times New Roman" w:hAnsi="Trebuchet MS"/>
          <w:snapToGrid w:val="0"/>
          <w:sz w:val="20"/>
          <w:szCs w:val="20"/>
          <w:lang w:val="ro-RO"/>
        </w:rPr>
        <w:t xml:space="preserve"> , CNP..................posesor al CI seria </w:t>
      </w:r>
      <w:r>
        <w:rPr>
          <w:rFonts w:ascii="Trebuchet MS" w:eastAsia="Times New Roman" w:hAnsi="Trebuchet MS" w:cs="Arial"/>
          <w:i/>
          <w:iCs/>
          <w:sz w:val="20"/>
          <w:szCs w:val="20"/>
          <w:lang w:val="ro-RO" w:eastAsia="sk-SK"/>
        </w:rPr>
        <w:t>…</w:t>
      </w:r>
      <w:r>
        <w:rPr>
          <w:rFonts w:ascii="Trebuchet MS" w:eastAsia="Times New Roman" w:hAnsi="Trebuchet MS"/>
          <w:snapToGrid w:val="0"/>
          <w:sz w:val="20"/>
          <w:szCs w:val="20"/>
          <w:lang w:val="ro-RO"/>
        </w:rPr>
        <w:t xml:space="preserve"> nr. </w:t>
      </w:r>
      <w:r>
        <w:rPr>
          <w:rFonts w:ascii="Trebuchet MS" w:eastAsia="Times New Roman" w:hAnsi="Trebuchet MS" w:cs="Arial"/>
          <w:i/>
          <w:iCs/>
          <w:sz w:val="20"/>
          <w:szCs w:val="20"/>
          <w:lang w:val="ro-RO" w:eastAsia="sk-SK"/>
        </w:rPr>
        <w:t>…</w:t>
      </w:r>
      <w:r>
        <w:rPr>
          <w:rFonts w:ascii="Trebuchet MS" w:eastAsia="Times New Roman" w:hAnsi="Trebuchet MS"/>
          <w:snapToGrid w:val="0"/>
          <w:sz w:val="20"/>
          <w:szCs w:val="20"/>
          <w:lang w:val="ro-RO"/>
        </w:rPr>
        <w:t>, eliberată de ............,  în calitate de reprezentant legal</w:t>
      </w:r>
      <w:r>
        <w:rPr>
          <w:rFonts w:ascii="Trebuchet MS" w:eastAsia="Times New Roman" w:hAnsi="Trebuchet MS" w:cs="Arial"/>
          <w:i/>
          <w:iCs/>
          <w:sz w:val="20"/>
          <w:szCs w:val="20"/>
          <w:lang w:val="ro-RO" w:eastAsia="sk-SK"/>
        </w:rPr>
        <w:t>(funcţie)</w:t>
      </w:r>
      <w:r>
        <w:rPr>
          <w:rFonts w:ascii="Trebuchet MS" w:eastAsia="Times New Roman" w:hAnsi="Trebuchet MS"/>
          <w:snapToGrid w:val="0"/>
          <w:sz w:val="20"/>
          <w:szCs w:val="20"/>
          <w:lang w:val="ro-RO"/>
        </w:rPr>
        <w:t xml:space="preserve"> al … </w:t>
      </w:r>
      <w:r>
        <w:rPr>
          <w:rFonts w:ascii="Trebuchet MS" w:eastAsia="Times New Roman" w:hAnsi="Trebuchet MS" w:cs="Arial"/>
          <w:i/>
          <w:iCs/>
          <w:sz w:val="20"/>
          <w:szCs w:val="20"/>
          <w:lang w:val="ro-RO" w:eastAsia="sk-SK"/>
        </w:rPr>
        <w:t>(completaţi cu denumirea organizaţiei solicitante)</w:t>
      </w:r>
      <w:r>
        <w:rPr>
          <w:rFonts w:ascii="Trebuchet MS" w:eastAsia="Times New Roman" w:hAnsi="Trebuchet MS"/>
          <w:snapToGrid w:val="0"/>
          <w:sz w:val="20"/>
          <w:szCs w:val="20"/>
          <w:lang w:val="ro-RO"/>
        </w:rPr>
        <w:t>, cunoscând că falsul în declaraţii este pedepsit de Codul Penal, declar pe propria răspundere că:</w:t>
      </w:r>
    </w:p>
    <w:p>
      <w:pPr>
        <w:numPr>
          <w:ilvl w:val="0"/>
          <w:numId w:val="42"/>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i/>
          <w:iCs/>
          <w:sz w:val="20"/>
          <w:szCs w:val="20"/>
          <w:lang w:val="ro-RO" w:eastAsia="sk-SK"/>
        </w:rPr>
        <w:t>(completaţi cu denumirea organizaţiei solicitante)</w:t>
      </w:r>
      <w:r>
        <w:rPr>
          <w:rFonts w:ascii="Trebuchet MS" w:eastAsia="Times New Roman" w:hAnsi="Trebuchet MS"/>
          <w:sz w:val="20"/>
          <w:szCs w:val="20"/>
          <w:lang w:val="ro-RO"/>
        </w:rPr>
        <w:t xml:space="preserve"> depune Fișa de proiect cu titlul ........................, din care această declaraţie face parte integrantă, în cadrul Programului Operaţional Regional 2014-2020, Axa prioritară 9, Prioritatea de investiții 9.1, în calitate de:</w:t>
      </w:r>
    </w:p>
    <w:p>
      <w:pPr>
        <w:numPr>
          <w:ilvl w:val="0"/>
          <w:numId w:val="45"/>
        </w:numPr>
        <w:spacing w:before="120" w:after="120" w:line="240" w:lineRule="auto"/>
        <w:jc w:val="both"/>
        <w:rPr>
          <w:rFonts w:ascii="Trebuchet MS" w:eastAsia="Times New Roman" w:hAnsi="Trebuchet MS"/>
          <w:b/>
          <w:bCs/>
          <w:sz w:val="20"/>
          <w:szCs w:val="20"/>
          <w:lang w:val="ro-RO" w:eastAsia="sk-SK"/>
        </w:rPr>
      </w:pPr>
      <w:r>
        <w:rPr>
          <w:rFonts w:ascii="Trebuchet MS" w:eastAsia="Times New Roman" w:hAnsi="Trebuchet MS"/>
          <w:b/>
          <w:bCs/>
          <w:sz w:val="20"/>
          <w:szCs w:val="20"/>
          <w:lang w:val="ro-RO"/>
        </w:rPr>
        <w:t>S</w:t>
      </w:r>
      <w:r>
        <w:rPr>
          <w:rFonts w:ascii="Trebuchet MS" w:eastAsia="Times New Roman" w:hAnsi="Trebuchet MS"/>
          <w:b/>
          <w:bCs/>
          <w:sz w:val="20"/>
          <w:szCs w:val="20"/>
          <w:lang w:val="ro-RO" w:eastAsia="sk-SK"/>
        </w:rPr>
        <w:t>olicitant</w:t>
      </w:r>
    </w:p>
    <w:p>
      <w:pPr>
        <w:numPr>
          <w:ilvl w:val="0"/>
          <w:numId w:val="45"/>
        </w:numPr>
        <w:spacing w:before="120" w:after="120" w:line="240" w:lineRule="auto"/>
        <w:jc w:val="both"/>
        <w:rPr>
          <w:rFonts w:ascii="Trebuchet MS" w:eastAsia="Times New Roman" w:hAnsi="Trebuchet MS"/>
          <w:i/>
          <w:iCs/>
          <w:sz w:val="20"/>
          <w:szCs w:val="20"/>
          <w:lang w:val="ro-RO" w:eastAsia="sk-SK"/>
        </w:rPr>
      </w:pPr>
      <w:r>
        <w:rPr>
          <w:rFonts w:ascii="Trebuchet MS" w:eastAsia="Times New Roman" w:hAnsi="Trebuchet MS"/>
          <w:b/>
          <w:bCs/>
          <w:sz w:val="20"/>
          <w:szCs w:val="20"/>
          <w:lang w:val="ro-RO" w:eastAsia="sk-SK"/>
        </w:rPr>
        <w:t>Solicitant -</w:t>
      </w:r>
      <w:r>
        <w:rPr>
          <w:rFonts w:ascii="Trebuchet MS" w:eastAsia="Times New Roman" w:hAnsi="Trebuchet MS"/>
          <w:i/>
          <w:iCs/>
          <w:sz w:val="20"/>
          <w:szCs w:val="20"/>
          <w:lang w:val="ro-RO" w:eastAsia="sk-SK"/>
        </w:rPr>
        <w:t xml:space="preserve"> Lider de proiect în cadrul Parteneriatului format din:  completaţi cu lista integrală conţinând denumirile complete ale partenerilor </w:t>
      </w:r>
    </w:p>
    <w:p>
      <w:pPr>
        <w:spacing w:before="120" w:after="120" w:line="240" w:lineRule="auto"/>
        <w:ind w:left="284"/>
        <w:rPr>
          <w:rFonts w:ascii="Trebuchet MS" w:eastAsia="Times New Roman" w:hAnsi="Trebuchet MS"/>
          <w:sz w:val="20"/>
          <w:szCs w:val="20"/>
          <w:lang w:val="ro-RO"/>
        </w:rPr>
      </w:pPr>
      <w:r>
        <w:rPr>
          <w:rFonts w:ascii="Trebuchet MS" w:eastAsia="Times New Roman" w:hAnsi="Trebuchet MS"/>
          <w:i/>
          <w:iCs/>
          <w:sz w:val="20"/>
          <w:szCs w:val="20"/>
          <w:lang w:val="ro-RO" w:eastAsia="sk-SK"/>
        </w:rPr>
        <w:t>Ceilalţi membri ai parteneriatului vor completa câte o Declaraţie de eligibilitate (B), prezentată  mai jos.</w:t>
      </w:r>
    </w:p>
    <w:p>
      <w:pPr>
        <w:numPr>
          <w:ilvl w:val="0"/>
          <w:numId w:val="42"/>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i/>
          <w:iCs/>
          <w:sz w:val="20"/>
          <w:szCs w:val="20"/>
          <w:lang w:val="ro-RO" w:eastAsia="sk-SK"/>
        </w:rPr>
        <w:t>(completaţi cu denumirea organizaţiei solicitante)</w:t>
      </w:r>
      <w:r>
        <w:rPr>
          <w:rFonts w:ascii="Trebuchet MS" w:eastAsia="Times New Roman" w:hAnsi="Trebuchet MS"/>
          <w:sz w:val="20"/>
          <w:szCs w:val="20"/>
          <w:lang w:val="ro-RO"/>
        </w:rPr>
        <w:t xml:space="preserve">  nu se află în următoarele situații la data depunerii fișei de proiect:</w:t>
      </w:r>
    </w:p>
    <w:p>
      <w:pPr>
        <w:numPr>
          <w:ilvl w:val="0"/>
          <w:numId w:val="43"/>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să se afle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w:t>
      </w:r>
    </w:p>
    <w:p>
      <w:pPr>
        <w:numPr>
          <w:ilvl w:val="0"/>
          <w:numId w:val="43"/>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să facă obiectul unei proceduri legale pentru declararea sa într-una din situațiile de la punctul a;</w:t>
      </w:r>
    </w:p>
    <w:p>
      <w:pPr>
        <w:numPr>
          <w:ilvl w:val="0"/>
          <w:numId w:val="43"/>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să fie în dificultate, în conformitate cu prevederile Regulamentului (UE) NR. 651/2014 al COMISIEI din 17 iunie 2014 de declarare a anumitor categorii de ajutoare compatibile cu piața internă în aplicarea articolelor 107 și 108 din tratat;</w:t>
      </w:r>
    </w:p>
    <w:p>
      <w:pPr>
        <w:numPr>
          <w:ilvl w:val="0"/>
          <w:numId w:val="43"/>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să fie găsit vinovat, printr-o hotărâre judecătorească definitivă, pentru comiterea unei fraude/ infracțiuni referitoare la obţinereaşi utilizarea fondurilor europene şi/sau a fondurilor publice naţionale aferente acestora, în conformitate cu prevederile Codului Penal aprobat prin Legea nr. 286/2009, cu modificările și completările ulterioare.</w:t>
      </w:r>
    </w:p>
    <w:p>
      <w:pPr>
        <w:numPr>
          <w:ilvl w:val="0"/>
          <w:numId w:val="42"/>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sz w:val="20"/>
          <w:szCs w:val="20"/>
          <w:lang w:val="ro-RO"/>
        </w:rPr>
        <w:t>Reprezentantul legal care îşi exercită atribuţiile de drept pe perioada procesului de evaluare trebuie să nu se afle într-una din situațiile de mai jos:</w:t>
      </w:r>
    </w:p>
    <w:p>
      <w:pPr>
        <w:numPr>
          <w:ilvl w:val="0"/>
          <w:numId w:val="44"/>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să fie subiectul unui conflict de interese definit în conformitate cu prevederile naţionale</w:t>
      </w:r>
      <w:r>
        <w:rPr>
          <w:rFonts w:ascii="Trebuchet MS" w:eastAsia="Times New Roman" w:hAnsi="Trebuchet MS"/>
          <w:sz w:val="20"/>
          <w:szCs w:val="20"/>
        </w:rPr>
        <w:t>/comunitare</w:t>
      </w:r>
      <w:r>
        <w:rPr>
          <w:rFonts w:ascii="Trebuchet MS" w:eastAsia="Times New Roman" w:hAnsi="Trebuchet MS"/>
          <w:sz w:val="20"/>
          <w:szCs w:val="20"/>
          <w:lang w:val="ro-RO"/>
        </w:rPr>
        <w:t xml:space="preserve">în vigoare sau să se afle într-o situaţie care are sau poate avea ca efect compromiterea obiectivității și imparțialității procesului de evaluare a fisei proiectului.  </w:t>
      </w:r>
    </w:p>
    <w:p>
      <w:pPr>
        <w:numPr>
          <w:ilvl w:val="0"/>
          <w:numId w:val="44"/>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se afle în situația de a induce grav în eroare Autoritatea de Management, Organismul Intermediar sau comisiile de evaluare şiselecţie, prin furnizarea de </w:t>
      </w:r>
      <w:r>
        <w:rPr>
          <w:rFonts w:ascii="Trebuchet MS" w:eastAsia="Times New Roman" w:hAnsi="Trebuchet MS"/>
          <w:sz w:val="20"/>
          <w:szCs w:val="20"/>
          <w:lang w:val="ro-RO"/>
        </w:rPr>
        <w:lastRenderedPageBreak/>
        <w:t>informaţii incorecte  în cadrul prezentului apel de fise de proiecte sau a altor apeluri de proiecte derulate în cadrul POR.</w:t>
      </w:r>
    </w:p>
    <w:p>
      <w:pPr>
        <w:numPr>
          <w:ilvl w:val="0"/>
          <w:numId w:val="44"/>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să se afle în situația de a încerca/de a fi încercat să obţinăinformaţiiconfidenţiale sau să influenţeze comisiile de evaluare şiselecţie sau Autoritatea de Management/ Organismul Intermediar  pe parcursul procesului de evaluare a prezentului apel de fise de  proiecte sau a altor apeluri de proiecte derulate în cadrul POR.</w:t>
      </w:r>
    </w:p>
    <w:p>
      <w:pPr>
        <w:numPr>
          <w:ilvl w:val="0"/>
          <w:numId w:val="44"/>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Să fi suferit condamnări definitive în cauze referitoare la obţinereaşi utilizarea fondurilor europene şi/sau a fondurilor publice naţionale aferente acestora.</w:t>
      </w:r>
    </w:p>
    <w:p>
      <w:pPr>
        <w:numPr>
          <w:ilvl w:val="0"/>
          <w:numId w:val="42"/>
        </w:numPr>
        <w:spacing w:before="120" w:after="120" w:line="240" w:lineRule="auto"/>
        <w:ind w:left="426" w:hanging="426"/>
        <w:jc w:val="both"/>
        <w:rPr>
          <w:rFonts w:ascii="Trebuchet MS" w:eastAsia="Times New Roman" w:hAnsi="Trebuchet MS"/>
          <w:sz w:val="20"/>
          <w:szCs w:val="20"/>
        </w:rPr>
      </w:pPr>
      <w:r>
        <w:rPr>
          <w:rFonts w:ascii="Trebuchet MS" w:eastAsia="Times New Roman" w:hAnsi="Trebuchet MS"/>
          <w:sz w:val="20"/>
          <w:szCs w:val="20"/>
        </w:rPr>
        <w:t>Imobilul</w:t>
      </w:r>
      <w:r>
        <w:rPr>
          <w:rFonts w:ascii="Trebuchet MS" w:eastAsia="Times New Roman" w:hAnsi="Trebuchet MS"/>
          <w:sz w:val="20"/>
          <w:szCs w:val="20"/>
          <w:lang w:val="ro-RO"/>
        </w:rPr>
        <w:t xml:space="preserve">/ imobilele </w:t>
      </w:r>
      <w:r>
        <w:rPr>
          <w:rFonts w:ascii="Trebuchet MS" w:eastAsia="Times New Roman" w:hAnsi="Trebuchet MS"/>
          <w:sz w:val="20"/>
          <w:szCs w:val="20"/>
        </w:rPr>
        <w:t>car</w:t>
      </w:r>
      <w:r>
        <w:rPr>
          <w:rFonts w:ascii="Trebuchet MS" w:eastAsia="Times New Roman" w:hAnsi="Trebuchet MS"/>
          <w:sz w:val="20"/>
          <w:szCs w:val="20"/>
          <w:lang w:val="ro-RO"/>
        </w:rPr>
        <w:t>eface/</w:t>
      </w:r>
      <w:r>
        <w:rPr>
          <w:rFonts w:ascii="Trebuchet MS" w:eastAsia="Times New Roman" w:hAnsi="Trebuchet MS"/>
          <w:sz w:val="20"/>
          <w:szCs w:val="20"/>
        </w:rPr>
        <w:t>fac obiectulproiectuluipropusprinprezenta</w:t>
      </w:r>
      <w:r>
        <w:rPr>
          <w:rFonts w:ascii="Trebuchet MS" w:eastAsia="Times New Roman" w:hAnsi="Trebuchet MS"/>
          <w:sz w:val="20"/>
          <w:szCs w:val="20"/>
          <w:lang w:val="ro-RO"/>
        </w:rPr>
        <w:t>Fișă de proiect</w:t>
      </w:r>
      <w:r>
        <w:rPr>
          <w:rFonts w:ascii="Trebuchet MS" w:eastAsia="Times New Roman" w:hAnsi="Trebuchet MS"/>
          <w:sz w:val="20"/>
          <w:szCs w:val="20"/>
        </w:rPr>
        <w:t>, începând cu data depunerii</w:t>
      </w:r>
      <w:r>
        <w:rPr>
          <w:rFonts w:ascii="Trebuchet MS" w:eastAsia="Times New Roman" w:hAnsi="Trebuchet MS"/>
          <w:sz w:val="20"/>
          <w:szCs w:val="20"/>
          <w:lang w:val="ro-RO"/>
        </w:rPr>
        <w:t>fișei de proiect</w:t>
      </w:r>
      <w:r>
        <w:rPr>
          <w:rFonts w:ascii="Trebuchet MS" w:eastAsia="Times New Roman" w:hAnsi="Trebuchet MS"/>
          <w:sz w:val="20"/>
          <w:szCs w:val="20"/>
        </w:rPr>
        <w:t>, îndeplineştecumulativurmătoarelecondiţii:</w:t>
      </w:r>
    </w:p>
    <w:p>
      <w:pPr>
        <w:numPr>
          <w:ilvl w:val="0"/>
          <w:numId w:val="46"/>
        </w:numPr>
        <w:spacing w:before="120" w:after="0" w:line="240" w:lineRule="auto"/>
        <w:ind w:left="1560" w:hanging="142"/>
        <w:jc w:val="both"/>
        <w:rPr>
          <w:rFonts w:ascii="Trebuchet MS" w:eastAsia="Times New Roman" w:hAnsi="Trebuchet MS"/>
          <w:sz w:val="20"/>
          <w:szCs w:val="20"/>
          <w:lang w:val="ro-RO"/>
        </w:rPr>
      </w:pPr>
      <w:r>
        <w:rPr>
          <w:rFonts w:ascii="Trebuchet MS" w:eastAsia="Times New Roman" w:hAnsi="Trebuchet MS"/>
          <w:sz w:val="20"/>
          <w:szCs w:val="20"/>
          <w:lang w:val="ro-RO"/>
        </w:rPr>
        <w:t>să fie libere de orice sarcini sau interdicţii ce afectează implementarea operaţiunii</w:t>
      </w:r>
    </w:p>
    <w:p>
      <w:pPr>
        <w:numPr>
          <w:ilvl w:val="0"/>
          <w:numId w:val="46"/>
        </w:numPr>
        <w:spacing w:before="120" w:after="0" w:line="240" w:lineRule="auto"/>
        <w:ind w:left="1560" w:hanging="142"/>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nu facă obiectul unor litigii având ca obiect dreptul invocat de către solicitant  pentru realizarea proiectului, aflate în curs de soluţionare la instanţelejudecătoreşti. </w:t>
      </w:r>
    </w:p>
    <w:p>
      <w:pPr>
        <w:numPr>
          <w:ilvl w:val="0"/>
          <w:numId w:val="46"/>
        </w:numPr>
        <w:spacing w:before="120" w:after="0" w:line="240" w:lineRule="auto"/>
        <w:ind w:left="1560" w:hanging="142"/>
        <w:jc w:val="both"/>
        <w:rPr>
          <w:rFonts w:ascii="Trebuchet MS" w:eastAsia="Times New Roman" w:hAnsi="Trebuchet MS"/>
          <w:sz w:val="20"/>
          <w:szCs w:val="20"/>
          <w:lang w:val="ro-RO"/>
        </w:rPr>
      </w:pPr>
      <w:r>
        <w:rPr>
          <w:rFonts w:ascii="Trebuchet MS" w:eastAsia="Times New Roman" w:hAnsi="Trebuchet MS"/>
          <w:sz w:val="20"/>
          <w:szCs w:val="20"/>
          <w:lang w:val="ro-RO"/>
        </w:rPr>
        <w:t>să nu facă obiectul revendicărilor potrivit unor legi speciale în materie sau dreptului comun.</w:t>
      </w:r>
    </w:p>
    <w:p>
      <w:pPr>
        <w:numPr>
          <w:ilvl w:val="0"/>
          <w:numId w:val="42"/>
        </w:numPr>
        <w:spacing w:before="120" w:after="120" w:line="240" w:lineRule="auto"/>
        <w:ind w:left="426" w:hanging="426"/>
        <w:jc w:val="both"/>
        <w:rPr>
          <w:rFonts w:ascii="Trebuchet MS" w:eastAsia="Times New Roman" w:hAnsi="Trebuchet MS"/>
          <w:sz w:val="20"/>
          <w:szCs w:val="20"/>
          <w:lang w:val="ro-RO"/>
        </w:rPr>
      </w:pPr>
      <w:r>
        <w:rPr>
          <w:rFonts w:ascii="Trebuchet MS" w:eastAsia="Times New Roman" w:hAnsi="Trebuchet MS"/>
          <w:sz w:val="20"/>
          <w:szCs w:val="20"/>
          <w:lang w:val="ro-RO"/>
        </w:rPr>
        <w:t>Clădirea/terenul/infrastructura/ infrastructura edilitara / strazile incluse în prezenta fișă de proiect nu au mai beneficiat de finanţare publică în ultimii 5 ani înainte de data depunerii fișei de proiect,pentru proiectele fără lucrări începute, pentru acelaşi tip de activităţi (construcţie/ extindere/ modernizare/ reabilitare) realizate asupra aceleiaşi infrastructuri/ aceluiaşi segment de infrastructură şi nu beneficiază de fonduri publice din alte surse de finanţare.</w:t>
      </w:r>
    </w:p>
    <w:p>
      <w:pPr>
        <w:numPr>
          <w:ilvl w:val="0"/>
          <w:numId w:val="42"/>
        </w:numPr>
        <w:spacing w:before="120" w:after="120" w:line="240" w:lineRule="auto"/>
        <w:ind w:left="426" w:hanging="426"/>
        <w:jc w:val="both"/>
        <w:rPr>
          <w:rFonts w:ascii="Trebuchet MS" w:eastAsia="Times New Roman" w:hAnsi="Trebuchet MS" w:cs="Arial"/>
          <w:sz w:val="20"/>
          <w:szCs w:val="20"/>
          <w:lang w:val="ro-RO"/>
        </w:rPr>
      </w:pPr>
      <w:r>
        <w:rPr>
          <w:rFonts w:ascii="Trebuchet MS" w:eastAsia="Times New Roman" w:hAnsi="Trebuchet MS"/>
          <w:sz w:val="20"/>
          <w:szCs w:val="20"/>
          <w:lang w:val="ro-RO"/>
        </w:rPr>
        <w:t xml:space="preserve">Clădirea/terenul/infrastructura/infrastructura edilitara / strazile incluse în prezenta fișă de proiect </w:t>
      </w:r>
      <w:r>
        <w:rPr>
          <w:rFonts w:ascii="Trebuchet MS" w:eastAsia="Times New Roman" w:hAnsi="Trebuchet MS" w:cs="Arial"/>
          <w:sz w:val="20"/>
          <w:szCs w:val="20"/>
          <w:lang w:val="ro-RO"/>
        </w:rPr>
        <w:t>nu au mai beneficiat de finanţare publică în ultimii 5 ani înainte de data emiterii ordinului de începere a contractului de lucrări pentru proiectele cu lucrări începute, pentru acelaşi tip de activităţi (construcţie/ extindere/ modernizare/reabilitare) realizate asupra aceleiaşi infrastructuri/ aceluiaşi segment de infrastructură şi nu beneficiază de fonduri publice din alte surse de finanţare, altele decât cele ale solicitantului.</w:t>
      </w:r>
    </w:p>
    <w:p>
      <w:pPr>
        <w:numPr>
          <w:ilvl w:val="0"/>
          <w:numId w:val="42"/>
        </w:numPr>
        <w:spacing w:before="120" w:after="120" w:line="240" w:lineRule="auto"/>
        <w:ind w:left="426"/>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 xml:space="preserve">În cazul în care anumite suprafețe din terenul aferent imobilului au fost închiriate/ date în folosință gratuită/concesionate unor persoane juridice, este îndeplinită condiția ca respectivele limite ale dreptului de proprietate să nu fie incompatibile cu realizarea activităților/ implementarea proiectului; </w:t>
      </w:r>
    </w:p>
    <w:p>
      <w:pPr>
        <w:numPr>
          <w:ilvl w:val="0"/>
          <w:numId w:val="42"/>
        </w:numPr>
        <w:tabs>
          <w:tab w:val="left" w:pos="426"/>
        </w:tabs>
        <w:spacing w:before="120" w:after="120" w:line="240" w:lineRule="auto"/>
        <w:ind w:left="426" w:hanging="426"/>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Solicitantul va asigura accesul gratuit al populației la clădirile/spațiile urbane amenajate/facilitățile pentru activități sportive și recreaționale, care fac obiectul proiectului pe toata perioada de durabilitate a contractului.</w:t>
      </w:r>
    </w:p>
    <w:p>
      <w:pPr>
        <w:numPr>
          <w:ilvl w:val="0"/>
          <w:numId w:val="42"/>
        </w:numPr>
        <w:tabs>
          <w:tab w:val="left" w:pos="426"/>
        </w:tabs>
        <w:spacing w:before="120" w:after="120" w:line="240" w:lineRule="auto"/>
        <w:ind w:left="426" w:hanging="426"/>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Proiectul nu a fost /a fost încheiat în mod fizic sau implementat  integral înainte de depunerea fișei de proiect cu titlul ............... în cadrul POR 2014-2020.</w:t>
      </w:r>
    </w:p>
    <w:p>
      <w:pPr>
        <w:numPr>
          <w:ilvl w:val="0"/>
          <w:numId w:val="42"/>
        </w:numPr>
        <w:spacing w:before="120" w:after="120" w:line="240" w:lineRule="auto"/>
        <w:ind w:left="426" w:hanging="426"/>
        <w:jc w:val="both"/>
        <w:rPr>
          <w:rFonts w:ascii="Trebuchet MS" w:eastAsia="Times New Roman" w:hAnsi="Trebuchet MS"/>
          <w:sz w:val="20"/>
          <w:szCs w:val="20"/>
          <w:lang w:val="ro-RO"/>
        </w:rPr>
      </w:pPr>
      <w:r>
        <w:rPr>
          <w:rFonts w:ascii="Trebuchet MS" w:eastAsia="Times New Roman" w:hAnsi="Trebuchet MS"/>
          <w:sz w:val="20"/>
          <w:szCs w:val="20"/>
          <w:lang w:val="ro-RO"/>
        </w:rPr>
        <w:t>Înțeleg că în cazul modificărilor condițiilor de eligibilitate pe perioada procesului de evaluare, fișa de proiect va fi respinsă.</w:t>
      </w:r>
    </w:p>
    <w:p>
      <w:pPr>
        <w:numPr>
          <w:ilvl w:val="0"/>
          <w:numId w:val="42"/>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Înțeleg că orice situație, eveniment ori modificare care afectează sau ar putea afecta respectarea condițiilor de eligibilitate aplicabile menționate în Ghidul solicitantului (general și specific) vor fi aduse la cunoștința </w:t>
      </w:r>
      <w:r>
        <w:rPr>
          <w:rFonts w:ascii="Trebuchet MS" w:eastAsia="Trebuchet MS" w:hAnsi="Trebuchet MS"/>
          <w:sz w:val="20"/>
          <w:szCs w:val="20"/>
        </w:rPr>
        <w:t>Botosani pentru Viitor</w:t>
      </w:r>
      <w:r>
        <w:rPr>
          <w:rFonts w:ascii="Trebuchet MS" w:eastAsia="Times New Roman" w:hAnsi="Trebuchet MS"/>
          <w:sz w:val="20"/>
          <w:szCs w:val="20"/>
          <w:lang w:val="ro-RO"/>
        </w:rPr>
        <w:t xml:space="preserve"> în termen de cel mult 5 zile lucrătoare de la luarea la cunoștință a situației respective.</w:t>
      </w:r>
    </w:p>
    <w:p>
      <w:pPr>
        <w:numPr>
          <w:ilvl w:val="0"/>
          <w:numId w:val="42"/>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sz w:val="20"/>
          <w:szCs w:val="20"/>
          <w:lang w:val="ro-RO"/>
        </w:rPr>
        <w:lastRenderedPageBreak/>
        <w:t>Înteleg că, ulterior contractării proiectului, modificarea condițiilor de eligibilitate este permisă numai în condițiile stricte ale prevederilor contractuale, cu respectarea legislaţiei în vigoare.</w:t>
      </w:r>
    </w:p>
    <w:p>
      <w:pPr>
        <w:numPr>
          <w:ilvl w:val="0"/>
          <w:numId w:val="42"/>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sz w:val="20"/>
          <w:szCs w:val="24"/>
          <w:lang w:val="ro-RO"/>
        </w:rPr>
        <w:t xml:space="preserve">Proiectul nu intră sub incidenţa ajutorului de stat. </w:t>
      </w:r>
    </w:p>
    <w:p>
      <w:pPr>
        <w:numPr>
          <w:ilvl w:val="0"/>
          <w:numId w:val="42"/>
        </w:numPr>
        <w:spacing w:before="120" w:after="120" w:line="240" w:lineRule="auto"/>
        <w:ind w:left="0" w:firstLine="0"/>
        <w:jc w:val="both"/>
        <w:rPr>
          <w:rFonts w:ascii="Trebuchet MS" w:hAnsi="Trebuchet MS" w:cs="Arial"/>
          <w:sz w:val="20"/>
          <w:szCs w:val="20"/>
        </w:rPr>
      </w:pPr>
      <w:r>
        <w:rPr>
          <w:rFonts w:ascii="Trebuchet MS" w:hAnsi="Trebuchet MS" w:cs="Arial"/>
        </w:rPr>
        <w:t>D</w:t>
      </w:r>
      <w:r>
        <w:rPr>
          <w:rFonts w:ascii="Trebuchet MS" w:hAnsi="Trebuchet MS" w:cs="Arial"/>
          <w:sz w:val="20"/>
          <w:szCs w:val="20"/>
        </w:rPr>
        <w:t xml:space="preserve">eclar că proiectul este/nu este generator de venituri nete în conformitate cu prevederile în prevederile art. 61 alin. 1 din REGULAMENTUL (UE) NR. 1303/2013 AL PARLAMENTULUI EUROPEAN ȘI AL CONSILIULUI, din 17 decembrie 2013, de stabilire a unor dispoziți icomune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„Prezentul articol se aplică operațiunilor care generează venituri nete ulterior finalizăriilor. În sensulprezentului articol, „venituri nete” înseamnă intrările de numerar plătite direct de utilizatori pentru bunurile sau serviciile din cadrul operațiunii, cum ar fi taxele suportate direct de utilizatori pentru utilizarea infrastructurii, vânzarea sau închirierea de terenuri sau clădirior iplățile pentru servicii, minus eventualele costuri de funcționare și de înlocuire a echipamentelor cu durată scurtă de viață, suportate pe parcursul perioadei corespunzătoare. Economiile la costurile de funcționare generate de operațiune, </w:t>
      </w:r>
      <w:r>
        <w:rPr>
          <w:rFonts w:ascii="Trebuchet MS" w:hAnsi="Trebuchet MS" w:cs="Arial"/>
          <w:b/>
          <w:sz w:val="20"/>
          <w:szCs w:val="20"/>
        </w:rPr>
        <w:t>cu excepția economiilor la costurile care decurg din punerea în aplicare a măsurilor de eficiență energetică,</w:t>
      </w:r>
      <w:r>
        <w:rPr>
          <w:rFonts w:ascii="Trebuchet MS" w:hAnsi="Trebuchet MS" w:cs="Arial"/>
          <w:sz w:val="20"/>
          <w:szCs w:val="20"/>
        </w:rPr>
        <w:t xml:space="preserve"> se tratează drept venituri nete cu excepția cazului în care sunt compensate de o reducere egală a subvențiilor de funcționare”.</w:t>
      </w:r>
    </w:p>
    <w:p>
      <w:pPr>
        <w:pStyle w:val="bullet"/>
        <w:tabs>
          <w:tab w:val="clear" w:pos="720"/>
        </w:tabs>
        <w:ind w:left="426" w:firstLine="0"/>
        <w:rPr>
          <w:szCs w:val="20"/>
          <w:highlight w:val="yellow"/>
        </w:rPr>
      </w:pPr>
    </w:p>
    <w:p>
      <w:pPr>
        <w:pStyle w:val="bullet"/>
        <w:tabs>
          <w:tab w:val="clear" w:pos="720"/>
        </w:tabs>
        <w:ind w:left="0" w:firstLine="0"/>
        <w:rPr>
          <w:sz w:val="22"/>
          <w:szCs w:val="22"/>
        </w:rPr>
      </w:pPr>
    </w:p>
    <w:tbl>
      <w:tblPr>
        <w:tblW w:w="0" w:type="auto"/>
        <w:tblLook w:val="0000" w:firstRow="0" w:lastRow="0" w:firstColumn="0" w:lastColumn="0" w:noHBand="0" w:noVBand="0"/>
      </w:tblPr>
      <w:tblGrid>
        <w:gridCol w:w="4428"/>
        <w:gridCol w:w="4428"/>
      </w:tblGrid>
      <w:tr>
        <w:trPr>
          <w:trHeight w:val="360"/>
        </w:trPr>
        <w:tc>
          <w:tcPr>
            <w:tcW w:w="4428" w:type="dxa"/>
          </w:tcPr>
          <w:p>
            <w:pPr>
              <w:spacing w:line="240" w:lineRule="auto"/>
              <w:jc w:val="both"/>
              <w:rPr>
                <w:rFonts w:ascii="Trebuchet MS" w:hAnsi="Trebuchet MS"/>
              </w:rPr>
            </w:pPr>
            <w:r>
              <w:rPr>
                <w:rFonts w:ascii="Trebuchet MS" w:hAnsi="Trebuchet MS"/>
              </w:rPr>
              <w:t>Data:</w:t>
            </w:r>
          </w:p>
        </w:tc>
        <w:tc>
          <w:tcPr>
            <w:tcW w:w="4428" w:type="dxa"/>
          </w:tcPr>
          <w:p>
            <w:pPr>
              <w:spacing w:line="240" w:lineRule="auto"/>
              <w:jc w:val="both"/>
              <w:rPr>
                <w:rFonts w:ascii="Trebuchet MS" w:hAnsi="Trebuchet MS"/>
                <w:sz w:val="20"/>
                <w:szCs w:val="20"/>
              </w:rPr>
            </w:pPr>
            <w:r>
              <w:rPr>
                <w:rFonts w:ascii="Trebuchet MS" w:hAnsi="Trebuchet MS"/>
                <w:sz w:val="20"/>
                <w:szCs w:val="20"/>
              </w:rPr>
              <w:t>Semnătura:</w:t>
            </w:r>
          </w:p>
          <w:p>
            <w:pPr>
              <w:pStyle w:val="instruct"/>
              <w:jc w:val="both"/>
              <w:rPr>
                <w:szCs w:val="20"/>
              </w:rPr>
            </w:pPr>
            <w:r>
              <w:rPr>
                <w:szCs w:val="20"/>
              </w:rPr>
              <w:t>Nume, prenume</w:t>
            </w:r>
          </w:p>
          <w:p>
            <w:pPr>
              <w:pStyle w:val="instruct"/>
              <w:jc w:val="both"/>
              <w:rPr>
                <w:szCs w:val="20"/>
              </w:rPr>
            </w:pPr>
            <w:r>
              <w:rPr>
                <w:szCs w:val="20"/>
              </w:rPr>
              <w:t>Semnătura reprezentantului legal al solicitantului</w:t>
            </w:r>
          </w:p>
        </w:tc>
      </w:tr>
    </w:tbl>
    <w:p>
      <w:pPr>
        <w:keepNext/>
        <w:spacing w:before="240" w:after="120" w:line="240" w:lineRule="auto"/>
        <w:ind w:left="576" w:hanging="576"/>
        <w:outlineLvl w:val="1"/>
        <w:rPr>
          <w:rFonts w:ascii="Trebuchet MS" w:eastAsia="Times New Roman" w:hAnsi="Trebuchet MS" w:cs="Arial"/>
          <w:sz w:val="24"/>
          <w:szCs w:val="28"/>
          <w:lang w:val="ro-RO"/>
        </w:rPr>
      </w:pPr>
      <w:r>
        <w:rPr>
          <w:rFonts w:ascii="Trebuchet MS" w:hAnsi="Trebuchet MS"/>
          <w:szCs w:val="20"/>
        </w:rPr>
        <w:br w:type="page"/>
      </w:r>
      <w:bookmarkStart w:id="102" w:name="_Toc19554673"/>
      <w:bookmarkStart w:id="103" w:name="_Toc22832124"/>
      <w:bookmarkStart w:id="104" w:name="_Toc41298529"/>
      <w:r>
        <w:rPr>
          <w:rFonts w:ascii="Trebuchet MS" w:eastAsia="Times New Roman" w:hAnsi="Trebuchet MS" w:cs="Arial"/>
          <w:sz w:val="24"/>
          <w:szCs w:val="28"/>
          <w:lang w:val="ro-RO"/>
        </w:rPr>
        <w:lastRenderedPageBreak/>
        <w:t>Anexa 3 - Declarația de angajament – model</w:t>
      </w:r>
      <w:bookmarkEnd w:id="102"/>
      <w:bookmarkEnd w:id="103"/>
      <w:bookmarkEnd w:id="104"/>
    </w:p>
    <w:p>
      <w:pPr>
        <w:spacing w:before="120" w:after="120" w:line="240" w:lineRule="auto"/>
        <w:jc w:val="both"/>
        <w:rPr>
          <w:rFonts w:ascii="Trebuchet MS" w:eastAsia="Times New Roman" w:hAnsi="Trebuchet MS"/>
          <w:sz w:val="20"/>
          <w:szCs w:val="24"/>
          <w:lang w:val="ro-RO"/>
        </w:rPr>
      </w:pPr>
    </w:p>
    <w:p>
      <w:pPr>
        <w:spacing w:before="120" w:after="120" w:line="240" w:lineRule="auto"/>
        <w:jc w:val="center"/>
        <w:rPr>
          <w:rFonts w:ascii="Trebuchet MS" w:eastAsia="Times New Roman" w:hAnsi="Trebuchet MS"/>
          <w:b/>
          <w:bCs/>
          <w:snapToGrid w:val="0"/>
          <w:sz w:val="24"/>
          <w:szCs w:val="24"/>
          <w:lang w:val="ro-RO"/>
        </w:rPr>
      </w:pPr>
      <w:r>
        <w:rPr>
          <w:rFonts w:ascii="Trebuchet MS" w:eastAsia="Times New Roman" w:hAnsi="Trebuchet MS"/>
          <w:b/>
          <w:bCs/>
          <w:snapToGrid w:val="0"/>
          <w:sz w:val="24"/>
          <w:szCs w:val="24"/>
          <w:lang w:val="ro-RO"/>
        </w:rPr>
        <w:t>Declaraţie de angajament</w:t>
      </w:r>
    </w:p>
    <w:p>
      <w:pPr>
        <w:spacing w:before="60" w:after="60" w:line="240" w:lineRule="auto"/>
        <w:jc w:val="center"/>
        <w:rPr>
          <w:rFonts w:ascii="Trebuchet MS" w:eastAsia="Times New Roman" w:hAnsi="Trebuchet MS"/>
          <w:b/>
          <w:bCs/>
          <w:sz w:val="20"/>
          <w:szCs w:val="24"/>
          <w:lang w:val="ro-RO"/>
        </w:rPr>
      </w:pPr>
      <w:r>
        <w:rPr>
          <w:rFonts w:ascii="Trebuchet MS" w:eastAsia="Times New Roman" w:hAnsi="Trebuchet MS"/>
          <w:b/>
          <w:bCs/>
          <w:sz w:val="20"/>
          <w:szCs w:val="24"/>
          <w:lang w:val="ro-RO"/>
        </w:rPr>
        <w:t>Pentru Solicitant individual sau membrii ai parteneriatului</w:t>
      </w:r>
    </w:p>
    <w:p>
      <w:pPr>
        <w:spacing w:before="60" w:after="60" w:line="240" w:lineRule="auto"/>
        <w:jc w:val="both"/>
        <w:rPr>
          <w:rFonts w:ascii="Trebuchet MS" w:eastAsia="Times New Roman" w:hAnsi="Trebuchet MS"/>
          <w:sz w:val="20"/>
          <w:szCs w:val="24"/>
          <w:lang w:val="ro-RO"/>
        </w:rPr>
      </w:pPr>
    </w:p>
    <w:p>
      <w:pPr>
        <w:spacing w:before="60" w:after="60" w:line="240" w:lineRule="auto"/>
        <w:jc w:val="both"/>
        <w:rPr>
          <w:rFonts w:ascii="Trebuchet MS" w:eastAsia="Times New Roman" w:hAnsi="Trebuchet MS"/>
          <w:sz w:val="20"/>
          <w:szCs w:val="24"/>
          <w:lang w:val="ro-RO"/>
        </w:rPr>
      </w:pP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4"/>
          <w:lang w:val="ro-RO"/>
        </w:rPr>
        <w:t>Subsemnatul ..., CNP...................., posesor al CI seria ... nr. ..., eliberată de ...,  în calitate de reprezentant legal al (completaţi cu denumirea organizaţiei solicitante), Solicitant de finanţare/ solicitant de finanțare-membru în cadrul parteneriatului/ Solicitant de finanțare-Lider de proiect în cadrul parteneriatului pentru proiectul (completaţi cu titlul proiectului) pentru care am depus/s-a depus prezenta Fișă de proiect</w:t>
      </w:r>
    </w:p>
    <w:p>
      <w:pPr>
        <w:spacing w:before="120" w:after="120" w:line="240" w:lineRule="auto"/>
        <w:jc w:val="both"/>
        <w:rPr>
          <w:rFonts w:ascii="Trebuchet MS" w:eastAsia="Times New Roman" w:hAnsi="Trebuchet MS"/>
          <w:sz w:val="20"/>
          <w:szCs w:val="24"/>
          <w:lang w:val="ro-RO"/>
        </w:rPr>
      </w:pP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4"/>
          <w:lang w:val="ro-RO"/>
        </w:rPr>
        <w:t>Mă angajez ca (completaţi cu denumirea organizaţiei solicitante)</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asigure contribuţia proprie … (introduceţi suma în lei), reprezentând …% din valoarea totală eligibilă a proiectului (introduceţi procentul contribuţiei la valoarea totală eligibilă a proiectului), conform fișei de proiect,</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finanţeze costurile neeligibile (inclusiv costurile conexe) aferente proiectului (conform Acordului de parteneriat)</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asigure resursele financiare necesare implementării optime ale proiectului în condiţiile rambursării ulterioare a cheltuielilor eligibile din instrumente structurale,</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menţină proprietatea/administrarea facilităţilor construite/ modernizate/ reabilitate / amenajate/ extinse (unde este cazul), a bunurilor achiziţionateşi natura activităţii pentru care s-a acordat finanţareşi să nu ipotecheze, cu excepția situațiilor prevăzute în contractul de finanțare, pe o perioadă de cel puţin 5 (cinci ani) ani de la efectuarea plății finale în cadrul contractului de finanţare,</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În cazul în care va primi finanțare din POR 2014-2020 pentru investiții în infrastructură trebuie ca pe perioada de durabilitate să: </w:t>
      </w:r>
    </w:p>
    <w:p>
      <w:pPr>
        <w:numPr>
          <w:ilvl w:val="1"/>
          <w:numId w:val="47"/>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menţinăinvestiţia realizată (asigurând mentenanţaşi serviciile asociate necesare); </w:t>
      </w:r>
    </w:p>
    <w:p>
      <w:pPr>
        <w:numPr>
          <w:ilvl w:val="1"/>
          <w:numId w:val="47"/>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nu realizeze o modificare asupra calităţii de proprietar/administrator al infrastructurii, decât în condițiile prevăzute în contractul de finanțare; </w:t>
      </w:r>
    </w:p>
    <w:p>
      <w:pPr>
        <w:numPr>
          <w:ilvl w:val="1"/>
          <w:numId w:val="47"/>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nu realizeze o modificare substanțială care afectează natura, obiectivele sau condițiile de realizare și care ar determina subminarea obiectivelor inițiale ale investiţiei.</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respecte, pe durata pregătirii şi implementării proiectului, prevederile legislaţiei comunitare şinaţionale în domeniul dezvoltării durabile, egalităţii de şanseşi nediscriminării şiegalităţii de gen.</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asigure accesibilizarea corespunzătoare a spaţiului/spațiilor obiect al proiectului, prin menţionarea în cerinţele de proiectare din caietul de sarcini pentru realizarea proiectului tehnic, respectarea prevederilor naţionaleşi europene aplicabile în vigoare. </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lastRenderedPageBreak/>
        <w:t xml:space="preserve">Să se asigure cu privire la preluarea şi respectarea recomandărilor din cadrul raportului de audit energetic în etapele următoare de proiectare şi executare ale proiectului, în vederea realizării performanţelor energetice minime impuse de legislaţianaţionalăşi europeană aplicabilă, în vigoare.  </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respecte, pe perioada de valabilitate a contractului, următoarele condiţii:</w:t>
      </w:r>
    </w:p>
    <w:p>
      <w:pPr>
        <w:numPr>
          <w:ilvl w:val="1"/>
          <w:numId w:val="47"/>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nu se afle în stare de faliment</w:t>
      </w:r>
    </w:p>
    <w:p>
      <w:pPr>
        <w:numPr>
          <w:ilvl w:val="1"/>
          <w:numId w:val="47"/>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nu fie în dificultate, în conformitate cu prevederile Regulamentului (UE) NR. 651/2014 al COMISIEI din 17 iunie 2014 de declarare a anumitor categorii de ajutoare compatibile cu piața internă în aplicarea articolelor 107 și 108 din tratat.</w:t>
      </w:r>
    </w:p>
    <w:p>
      <w:pPr>
        <w:numPr>
          <w:ilvl w:val="1"/>
          <w:numId w:val="47"/>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nu fi fost găsit vinovat, printr-o hotărâre judecătorească definitivă, pentru comiterea unei fraude/ infracțiuni referitoare obţinereaşi utilizarea fondurilor europene şi/sau a fondurilor publice naţionale aferente acestora, în conformitate cu prevederile Codului Penal aprobat prin Legea nr. 286/2009, cu modificările și completările ulterioare.</w:t>
      </w:r>
    </w:p>
    <w:p>
      <w:pPr>
        <w:numPr>
          <w:ilvl w:val="1"/>
          <w:numId w:val="47"/>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(Unde e cazul) să dețină dreptul legal de a desfășura activitățile prevăzute în cadrul proiectului.</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notifice </w:t>
      </w:r>
      <w:r>
        <w:rPr>
          <w:rFonts w:ascii="Trebuchet MS" w:eastAsia="Times New Roman" w:hAnsi="Trebuchet MS"/>
          <w:sz w:val="20"/>
          <w:szCs w:val="24"/>
        </w:rPr>
        <w:t xml:space="preserve">GAL Botosani pentru Viitor </w:t>
      </w:r>
      <w:r>
        <w:rPr>
          <w:rFonts w:ascii="Trebuchet MS" w:eastAsia="Times New Roman" w:hAnsi="Trebuchet MS"/>
          <w:sz w:val="20"/>
          <w:szCs w:val="24"/>
          <w:lang w:val="ro-RO"/>
        </w:rPr>
        <w:t>asupra oricărei situații, eveniment ori modificare care afectează sau ar putea afecta respectarea condițiilor de eligibilitate aplicabile menționate în Ghidul solicitantului (general și specific) în termen de cel mult 5 zile lucrătoare de la luarea la cunoștință a situației respective.</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asigure accesul gratuit al populației la clădirile/spațiile urbane amenajate/facilitățile pentru activități sportive și recreaționale, care fac obiectul proiectului în cadrul PI 9.1, pe toată perioada de durabilitate a contractului de finanțare.</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asigure pe toata perioada de durabilitate a contractului de finanțare desfășurarea activităților de tip FSE/măsuri de tip soft de incluziune socială promovate prin POCU 2014-2020, în special cele prevăzute în cadrul axelor prioritare 3 - Locuri de muncă pentru toți  și axa 4 - Incluziunea socială și combaterea sărăciei - Dezvoltare Locala Integrata (obiectivele specifice 4.1, 4.2, 4.4).</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notifice AMPOR în cazul în care proiectul devine generator de venituri nete pe perioada de durabilitate a contractului de finanțare. </w:t>
      </w:r>
    </w:p>
    <w:p>
      <w:pPr>
        <w:numPr>
          <w:ilvl w:val="0"/>
          <w:numId w:val="47"/>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respecte și să aplice prevederile REGULAMENTULUI UE nr. 679 din 27 aprilie 2016 privind protecţia persoanelor fizice în ceea ce priveşte prelucrarea datelor cu caracter personal şi privind libera circulaţie a acestor date şi de abrogare a Directivei 95/46/CE (Regulamentul general privind protecţia datelor).</w:t>
      </w:r>
    </w:p>
    <w:p>
      <w:pPr>
        <w:spacing w:before="60" w:after="60" w:line="240" w:lineRule="auto"/>
        <w:jc w:val="both"/>
        <w:rPr>
          <w:rFonts w:ascii="Trebuchet MS" w:eastAsia="Times New Roman" w:hAnsi="Trebuchet MS"/>
          <w:sz w:val="20"/>
          <w:szCs w:val="24"/>
          <w:lang w:val="ro-RO"/>
        </w:rPr>
      </w:pPr>
    </w:p>
    <w:tbl>
      <w:tblPr>
        <w:tblW w:w="0" w:type="auto"/>
        <w:tblLook w:val="0000" w:firstRow="0" w:lastRow="0" w:firstColumn="0" w:lastColumn="0" w:noHBand="0" w:noVBand="0"/>
      </w:tblPr>
      <w:tblGrid>
        <w:gridCol w:w="4428"/>
        <w:gridCol w:w="4428"/>
      </w:tblGrid>
      <w:tr>
        <w:trPr>
          <w:trHeight w:val="360"/>
        </w:trPr>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Data:</w:t>
            </w:r>
          </w:p>
        </w:tc>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Semnătura:</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Nume, prenume</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Semnătura reprezentantului legal al solicitantului</w:t>
            </w:r>
          </w:p>
        </w:tc>
      </w:tr>
    </w:tbl>
    <w:p>
      <w:pPr>
        <w:spacing w:before="60" w:after="60" w:line="240" w:lineRule="auto"/>
        <w:jc w:val="both"/>
        <w:rPr>
          <w:rFonts w:ascii="Trebuchet MS" w:eastAsia="Times New Roman" w:hAnsi="Trebuchet MS"/>
          <w:sz w:val="20"/>
          <w:szCs w:val="20"/>
          <w:lang w:val="ro-RO"/>
        </w:rPr>
      </w:pPr>
    </w:p>
    <w:p>
      <w:pPr>
        <w:spacing w:after="0" w:line="240" w:lineRule="auto"/>
        <w:rPr>
          <w:rFonts w:ascii="Trebuchet MS" w:eastAsia="Times New Roman" w:hAnsi="Trebuchet MS"/>
          <w:sz w:val="20"/>
          <w:szCs w:val="20"/>
          <w:lang w:val="ro-RO"/>
        </w:rPr>
      </w:pPr>
      <w:r>
        <w:rPr>
          <w:rFonts w:ascii="Trebuchet MS" w:eastAsia="Times New Roman" w:hAnsi="Trebuchet MS"/>
          <w:sz w:val="20"/>
          <w:szCs w:val="20"/>
          <w:lang w:val="ro-RO"/>
        </w:rPr>
        <w:br w:type="page"/>
      </w:r>
    </w:p>
    <w:p>
      <w:pPr>
        <w:keepNext/>
        <w:spacing w:before="240" w:after="120" w:line="240" w:lineRule="auto"/>
        <w:ind w:left="576" w:hanging="576"/>
        <w:outlineLvl w:val="1"/>
        <w:rPr>
          <w:rFonts w:ascii="Trebuchet MS" w:eastAsia="Times New Roman" w:hAnsi="Trebuchet MS" w:cs="Arial"/>
          <w:sz w:val="24"/>
          <w:szCs w:val="28"/>
          <w:lang w:val="ro-RO"/>
        </w:rPr>
      </w:pPr>
      <w:bookmarkStart w:id="105" w:name="_Toc19554674"/>
      <w:bookmarkStart w:id="106" w:name="_Toc22832125"/>
      <w:bookmarkStart w:id="107" w:name="_Toc41298530"/>
      <w:r>
        <w:rPr>
          <w:rFonts w:ascii="Trebuchet MS" w:eastAsia="Times New Roman" w:hAnsi="Trebuchet MS" w:cs="Arial"/>
          <w:sz w:val="24"/>
          <w:szCs w:val="28"/>
          <w:lang w:val="ro-RO"/>
        </w:rPr>
        <w:lastRenderedPageBreak/>
        <w:t>Anexa 4 - Consimțământ privind prelucrarea datelor cu caracter personal</w:t>
      </w:r>
      <w:bookmarkEnd w:id="105"/>
      <w:bookmarkEnd w:id="106"/>
      <w:bookmarkEnd w:id="107"/>
    </w:p>
    <w:p>
      <w:pPr>
        <w:spacing w:before="120" w:after="120" w:line="240" w:lineRule="auto"/>
        <w:jc w:val="both"/>
        <w:rPr>
          <w:rFonts w:ascii="Trebuchet MS" w:eastAsia="Times New Roman" w:hAnsi="Trebuchet MS"/>
          <w:sz w:val="20"/>
          <w:szCs w:val="24"/>
          <w:lang w:val="ro-RO"/>
        </w:rPr>
      </w:pPr>
    </w:p>
    <w:p>
      <w:pPr>
        <w:spacing w:before="120" w:after="0" w:line="240" w:lineRule="auto"/>
        <w:jc w:val="both"/>
        <w:rPr>
          <w:rFonts w:ascii="Trebuchet MS" w:eastAsia="Times New Roman" w:hAnsi="Trebuchet MS"/>
          <w:i/>
          <w:sz w:val="20"/>
          <w:szCs w:val="20"/>
          <w:lang w:val="ro-RO"/>
        </w:rPr>
      </w:pPr>
      <w:r>
        <w:rPr>
          <w:rFonts w:ascii="Trebuchet MS" w:eastAsia="Times New Roman" w:hAnsi="Trebuchet MS"/>
          <w:i/>
          <w:sz w:val="20"/>
          <w:szCs w:val="20"/>
          <w:lang w:val="ro-RO"/>
        </w:rPr>
        <w:t>Pentru fișa de proiect cu titlul (</w:t>
      </w:r>
      <w:r>
        <w:rPr>
          <w:rFonts w:ascii="Trebuchet MS" w:eastAsia="Times New Roman" w:hAnsi="Trebuchet MS"/>
          <w:b/>
          <w:i/>
          <w:sz w:val="20"/>
          <w:szCs w:val="20"/>
          <w:lang w:val="ro-RO"/>
        </w:rPr>
        <w:t>completați cu titlul complet al fișei de proiect)</w:t>
      </w:r>
      <w:r>
        <w:rPr>
          <w:rFonts w:ascii="Trebuchet MS" w:eastAsia="Times New Roman" w:hAnsi="Trebuchet MS"/>
          <w:i/>
          <w:sz w:val="20"/>
          <w:szCs w:val="20"/>
          <w:lang w:val="ro-RO"/>
        </w:rPr>
        <w:t xml:space="preserve"> din care această declaraţie face parte integrantă, în cadrul Programului Operaţional Regional 2014-2020, Axa prioritară 9, Prioritatea de investiții 9.1:</w:t>
      </w:r>
    </w:p>
    <w:p>
      <w:pPr>
        <w:spacing w:before="120" w:after="0" w:line="240" w:lineRule="auto"/>
        <w:ind w:left="426"/>
        <w:jc w:val="both"/>
        <w:rPr>
          <w:rFonts w:ascii="Trebuchet MS" w:eastAsia="Times New Roman" w:hAnsi="Trebuchet MS"/>
          <w:sz w:val="20"/>
          <w:szCs w:val="20"/>
          <w:lang w:val="ro-RO"/>
        </w:rPr>
      </w:pPr>
    </w:p>
    <w:p>
      <w:pPr>
        <w:spacing w:before="120" w:after="0" w:line="240" w:lineRule="auto"/>
        <w:ind w:left="426"/>
        <w:jc w:val="center"/>
        <w:rPr>
          <w:rFonts w:ascii="Trebuchet MS" w:eastAsia="Times New Roman" w:hAnsi="Trebuchet MS"/>
          <w:b/>
          <w:i/>
          <w:iCs/>
          <w:sz w:val="24"/>
          <w:szCs w:val="24"/>
          <w:lang w:val="ro-RO"/>
        </w:rPr>
      </w:pPr>
      <w:r>
        <w:rPr>
          <w:rFonts w:ascii="Trebuchet MS" w:eastAsia="Times New Roman" w:hAnsi="Trebuchet MS"/>
          <w:b/>
          <w:i/>
          <w:iCs/>
          <w:sz w:val="24"/>
          <w:szCs w:val="24"/>
          <w:lang w:val="ro-RO"/>
        </w:rPr>
        <w:t>CONSIMŢĂMÂNT</w:t>
      </w:r>
    </w:p>
    <w:p>
      <w:pPr>
        <w:spacing w:before="120" w:after="0" w:line="240" w:lineRule="auto"/>
        <w:ind w:left="426"/>
        <w:jc w:val="both"/>
        <w:rPr>
          <w:rFonts w:ascii="Trebuchet MS" w:eastAsia="Times New Roman" w:hAnsi="Trebuchet MS"/>
          <w:sz w:val="20"/>
          <w:szCs w:val="20"/>
          <w:lang w:val="ro-RO"/>
        </w:rPr>
      </w:pP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Subsemnatul / Subsemnata ……………………………………………………………………, CNP…………………………, posesor/posesoare a ……… CI …………………………… seria…………………………… nr ………………………, domiciliat / ă în ……………………………………………………………………………………………………………………………………………………, e-mail ……………………………………………………………………………, telefon ………………………………………… în calitate de persoană fizică și reprezentant legal* al :</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b/>
          <w:i/>
          <w:sz w:val="20"/>
          <w:szCs w:val="20"/>
          <w:lang w:val="ro-RO"/>
        </w:rPr>
        <w:t>*(daca este cazul, se vor completa toate entitățile juridice la care deține calitatea respectivă și datele acestora de identificare, CUI/CIF, adresă sediu social)</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declar prin prezenta că sunt de acord ca GAL Botosani pentru Viitor, să fie autorizat să proceseze datele mele personale/ale entității juridice pe care o reprezint, în cadrul activității de evaluare,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 </w:t>
      </w: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0"/>
          <w:lang w:val="ro-RO"/>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GAL Botosani pentru Viitor de a utiliza datele disponibile în baze de date externe în scopul identificării și calculării indicatorilor de risc în procesul de evaluare a fișei de proiect</w:t>
      </w:r>
      <w:r>
        <w:rPr>
          <w:rFonts w:ascii="Trebuchet MS" w:eastAsia="Times New Roman" w:hAnsi="Trebuchet MS"/>
          <w:b/>
          <w:i/>
          <w:sz w:val="20"/>
          <w:szCs w:val="20"/>
          <w:lang w:val="ro-RO"/>
        </w:rPr>
        <w:t>cu titlul ………………..</w:t>
      </w:r>
      <w:r>
        <w:rPr>
          <w:rFonts w:ascii="Trebuchet MS" w:eastAsia="Times New Roman" w:hAnsi="Trebuchet MS"/>
          <w:sz w:val="20"/>
          <w:szCs w:val="24"/>
          <w:lang w:val="ro-RO"/>
        </w:rPr>
        <w:t>,</w:t>
      </w: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0"/>
          <w:lang w:val="ro-RO"/>
        </w:rP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Modalitatea prin care solicit să fiu contactat în scopul furnizării de informații este adresa de email ………………… și/sau fax ………………………….</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Declar că a</w:t>
      </w:r>
      <w:r>
        <w:rPr>
          <w:rFonts w:ascii="Trebuchet MS" w:eastAsia="Times New Roman" w:hAnsi="Trebuchet MS" w:cs="CACula-ExtraBold"/>
          <w:bCs/>
          <w:sz w:val="20"/>
          <w:szCs w:val="20"/>
          <w:lang w:val="ro-RO"/>
        </w:rPr>
        <w:t xml:space="preserve">m înțeles această declarație de consimțământ, că sunt de acord cu procesarea datelor mele personale prin canalele de mai sus în scopurile descrise în această declarație de consimțământ. </w:t>
      </w:r>
    </w:p>
    <w:tbl>
      <w:tblPr>
        <w:tblW w:w="0" w:type="auto"/>
        <w:tblLook w:val="0000" w:firstRow="0" w:lastRow="0" w:firstColumn="0" w:lastColumn="0" w:noHBand="0" w:noVBand="0"/>
      </w:tblPr>
      <w:tblGrid>
        <w:gridCol w:w="4428"/>
        <w:gridCol w:w="4428"/>
      </w:tblGrid>
      <w:tr>
        <w:trPr>
          <w:trHeight w:val="360"/>
        </w:trPr>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Data:</w:t>
            </w:r>
          </w:p>
        </w:tc>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Semnătura:</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Nume, prenume</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Semnătura reprezentantului legal al solicitantului</w:t>
            </w:r>
          </w:p>
        </w:tc>
      </w:tr>
    </w:tbl>
    <w:p>
      <w:pPr>
        <w:spacing w:line="240" w:lineRule="auto"/>
        <w:jc w:val="both"/>
        <w:rPr>
          <w:rFonts w:ascii="Trebuchet MS" w:hAnsi="Trebuchet MS"/>
        </w:rPr>
      </w:pPr>
    </w:p>
    <w:p>
      <w:pPr>
        <w:keepNext/>
        <w:spacing w:before="240" w:after="120" w:line="240" w:lineRule="auto"/>
        <w:ind w:left="576" w:hanging="576"/>
        <w:outlineLvl w:val="1"/>
        <w:rPr>
          <w:rFonts w:ascii="Trebuchet MS" w:eastAsia="Times New Roman" w:hAnsi="Trebuchet MS" w:cs="Arial"/>
          <w:sz w:val="24"/>
          <w:szCs w:val="28"/>
          <w:lang w:val="ro-RO"/>
        </w:rPr>
      </w:pPr>
      <w:bookmarkStart w:id="108" w:name="_Toc41298531"/>
      <w:r>
        <w:rPr>
          <w:rFonts w:ascii="Trebuchet MS" w:eastAsia="Times New Roman" w:hAnsi="Trebuchet MS" w:cs="Arial"/>
          <w:sz w:val="24"/>
          <w:szCs w:val="28"/>
          <w:lang w:val="ro-RO"/>
        </w:rPr>
        <w:t>Anexa 5- BUGETUL FISEI DE PROIECT</w:t>
      </w:r>
      <w:bookmarkEnd w:id="108"/>
      <w:r>
        <w:rPr>
          <w:rFonts w:ascii="Trebuchet MS" w:eastAsia="Times New Roman" w:hAnsi="Trebuchet MS" w:cs="Arial"/>
          <w:sz w:val="24"/>
          <w:szCs w:val="28"/>
          <w:lang w:val="ro-RO"/>
        </w:rPr>
        <w:t xml:space="preserve"> model</w:t>
      </w:r>
    </w:p>
    <w:tbl>
      <w:tblPr>
        <w:tblW w:w="1089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0"/>
        <w:gridCol w:w="677"/>
        <w:gridCol w:w="1054"/>
        <w:gridCol w:w="993"/>
        <w:gridCol w:w="906"/>
        <w:gridCol w:w="630"/>
        <w:gridCol w:w="732"/>
        <w:gridCol w:w="850"/>
        <w:gridCol w:w="494"/>
        <w:gridCol w:w="73"/>
        <w:gridCol w:w="567"/>
        <w:gridCol w:w="567"/>
        <w:gridCol w:w="75"/>
        <w:gridCol w:w="411"/>
        <w:gridCol w:w="55"/>
        <w:gridCol w:w="136"/>
        <w:gridCol w:w="599"/>
        <w:gridCol w:w="211"/>
        <w:gridCol w:w="356"/>
        <w:gridCol w:w="544"/>
        <w:gridCol w:w="40"/>
        <w:gridCol w:w="50"/>
      </w:tblGrid>
      <w:tr>
        <w:trPr>
          <w:gridAfter w:val="1"/>
          <w:wAfter w:w="50" w:type="dxa"/>
          <w:trHeight w:val="2957"/>
        </w:trPr>
        <w:tc>
          <w:tcPr>
            <w:tcW w:w="2601" w:type="dxa"/>
            <w:gridSpan w:val="3"/>
            <w:vMerge w:val="restart"/>
            <w:tcBorders>
              <w:top w:val="single" w:sz="8" w:space="0" w:color="auto"/>
              <w:left w:val="single" w:sz="8" w:space="0" w:color="auto"/>
              <w:bottom w:val="single" w:sz="8" w:space="0" w:color="auto"/>
              <w:right w:val="single" w:sz="8" w:space="0" w:color="auto"/>
            </w:tcBorders>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93" w:type="dxa"/>
            <w:tcBorders>
              <w:top w:val="single" w:sz="8" w:space="0" w:color="auto"/>
              <w:left w:val="single" w:sz="8" w:space="0" w:color="auto"/>
              <w:bottom w:val="single" w:sz="8" w:space="0" w:color="auto"/>
              <w:right w:val="single" w:sz="8" w:space="0" w:color="auto"/>
            </w:tcBorders>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Ajutor de stat</w:t>
            </w:r>
          </w:p>
        </w:tc>
        <w:tc>
          <w:tcPr>
            <w:tcW w:w="906"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Cost Total fără TVA</w:t>
            </w:r>
          </w:p>
        </w:tc>
        <w:tc>
          <w:tcPr>
            <w:tcW w:w="630"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TVA</w:t>
            </w:r>
          </w:p>
        </w:tc>
        <w:tc>
          <w:tcPr>
            <w:tcW w:w="732"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Cost total</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Valoareeligibilăfără TVA</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TVA eligibilă</w:t>
            </w:r>
          </w:p>
        </w:tc>
        <w:tc>
          <w:tcPr>
            <w:tcW w:w="567"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Total eligibil</w:t>
            </w:r>
          </w:p>
        </w:tc>
        <w:tc>
          <w:tcPr>
            <w:tcW w:w="567"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Valoareneeligibilăfără TVA</w:t>
            </w:r>
          </w:p>
        </w:tc>
        <w:tc>
          <w:tcPr>
            <w:tcW w:w="677" w:type="dxa"/>
            <w:gridSpan w:val="4"/>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Valoare TVA neeligibilă</w:t>
            </w:r>
          </w:p>
        </w:tc>
        <w:tc>
          <w:tcPr>
            <w:tcW w:w="599"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Total neeligibil</w:t>
            </w:r>
          </w:p>
        </w:tc>
        <w:tc>
          <w:tcPr>
            <w:tcW w:w="567"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Categorie My SMIS</w:t>
            </w:r>
          </w:p>
        </w:tc>
        <w:tc>
          <w:tcPr>
            <w:tcW w:w="584"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Subcategorie My SMIS</w:t>
            </w:r>
          </w:p>
        </w:tc>
      </w:tr>
      <w:tr>
        <w:trPr>
          <w:gridAfter w:val="1"/>
          <w:wAfter w:w="50" w:type="dxa"/>
          <w:trHeight w:val="329"/>
        </w:trPr>
        <w:tc>
          <w:tcPr>
            <w:tcW w:w="2601" w:type="dxa"/>
            <w:gridSpan w:val="3"/>
            <w:vMerge/>
            <w:tcBorders>
              <w:top w:val="single" w:sz="8" w:space="0" w:color="auto"/>
              <w:left w:val="single" w:sz="8" w:space="0" w:color="auto"/>
              <w:bottom w:val="single" w:sz="8" w:space="0" w:color="auto"/>
              <w:right w:val="single" w:sz="8" w:space="0" w:color="auto"/>
            </w:tcBorders>
            <w:vAlign w:val="center"/>
            <w:hideMark/>
          </w:tcPr>
          <w:p>
            <w:pPr>
              <w:spacing w:after="0" w:line="240" w:lineRule="auto"/>
              <w:rPr>
                <w:rFonts w:ascii="Trebuchet MS" w:eastAsia="Times New Roman" w:hAnsi="Trebuchet MS"/>
                <w:color w:val="000000"/>
                <w:sz w:val="18"/>
                <w:szCs w:val="18"/>
                <w:lang w:eastAsia="ro-RO"/>
              </w:rPr>
            </w:pPr>
          </w:p>
        </w:tc>
        <w:tc>
          <w:tcPr>
            <w:tcW w:w="993" w:type="dxa"/>
            <w:tcBorders>
              <w:top w:val="single" w:sz="8" w:space="0" w:color="auto"/>
              <w:left w:val="single" w:sz="8" w:space="0" w:color="auto"/>
              <w:bottom w:val="single" w:sz="8" w:space="0" w:color="auto"/>
              <w:right w:val="single" w:sz="8" w:space="0" w:color="auto"/>
            </w:tcBorders>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DA/NU</w:t>
            </w:r>
          </w:p>
        </w:tc>
        <w:tc>
          <w:tcPr>
            <w:tcW w:w="906"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4=2+3</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7=5+6</w:t>
            </w:r>
          </w:p>
        </w:tc>
        <w:tc>
          <w:tcPr>
            <w:tcW w:w="567"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 </w:t>
            </w:r>
          </w:p>
        </w:tc>
        <w:tc>
          <w:tcPr>
            <w:tcW w:w="677" w:type="dxa"/>
            <w:gridSpan w:val="4"/>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 </w:t>
            </w:r>
          </w:p>
        </w:tc>
        <w:tc>
          <w:tcPr>
            <w:tcW w:w="599"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10=8+9</w:t>
            </w:r>
          </w:p>
        </w:tc>
        <w:tc>
          <w:tcPr>
            <w:tcW w:w="567"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1</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2</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3</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4</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5</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7</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8</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9</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10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9090" w:type="dxa"/>
            <w:gridSpan w:val="16"/>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Capitolul 1 - Cheltuieli pentr uobținerea și amenajarea terenului</w:t>
            </w:r>
          </w:p>
        </w:tc>
        <w:tc>
          <w:tcPr>
            <w:tcW w:w="1166" w:type="dxa"/>
            <w:gridSpan w:val="3"/>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12</w:t>
            </w: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1.1 cheltuieli pentru amenajarea terenului</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1.2 cheltuieli cu amenajări pentru protecţia mediului şi aducerea la starea iniţială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1.3 - Cheltuieli achizitie teren*</w:t>
            </w:r>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Total Capitol 1</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9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r>
      <w:tr>
        <w:trPr>
          <w:trHeight w:val="391"/>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vAlign w:val="center"/>
            <w:hideMark/>
          </w:tcPr>
          <w:p>
            <w:pPr>
              <w:spacing w:after="0" w:line="240" w:lineRule="auto"/>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Capitolul 2 - - Cheltuiel ipentru asigurarea utilităților  necesare obiectivului</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c>
          <w:tcPr>
            <w:tcW w:w="634" w:type="dxa"/>
            <w:gridSpan w:val="3"/>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r>
      <w:tr>
        <w:trPr>
          <w:gridAfter w:val="1"/>
          <w:wAfter w:w="50" w:type="dxa"/>
          <w:trHeight w:val="495"/>
        </w:trPr>
        <w:tc>
          <w:tcPr>
            <w:tcW w:w="2601" w:type="dxa"/>
            <w:gridSpan w:val="3"/>
            <w:tcBorders>
              <w:top w:val="single" w:sz="8" w:space="0" w:color="auto"/>
              <w:left w:val="single" w:sz="8" w:space="0" w:color="auto"/>
              <w:bottom w:val="single" w:sz="8" w:space="0" w:color="auto"/>
              <w:right w:val="single" w:sz="8" w:space="0" w:color="auto"/>
            </w:tcBorders>
            <w:vAlign w:val="bottom"/>
          </w:tcPr>
          <w:p>
            <w:pPr>
              <w:spacing w:after="0" w:line="240" w:lineRule="auto"/>
              <w:jc w:val="both"/>
              <w:rPr>
                <w:rFonts w:ascii="Trebuchet MS" w:hAnsi="Trebuchet MS"/>
                <w:sz w:val="18"/>
                <w:szCs w:val="18"/>
              </w:rPr>
            </w:pPr>
            <w:r>
              <w:rPr>
                <w:rFonts w:ascii="Trebuchet MS" w:hAnsi="Trebuchet MS"/>
                <w:sz w:val="18"/>
                <w:szCs w:val="18"/>
              </w:rPr>
              <w:t>2.1 Cheltuieli pentru asigurarea utilităților necesare obiectivului</w:t>
            </w:r>
          </w:p>
          <w:p>
            <w:pPr>
              <w:spacing w:after="0" w:line="240" w:lineRule="auto"/>
              <w:rPr>
                <w:rFonts w:ascii="Trebuchet MS" w:eastAsia="Times New Roman" w:hAnsi="Trebuchet MS"/>
                <w:color w:val="000000"/>
                <w:sz w:val="18"/>
                <w:szCs w:val="18"/>
                <w:lang w:eastAsia="ro-RO"/>
              </w:rPr>
            </w:pPr>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453"/>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Total Capitol 2</w:t>
            </w:r>
          </w:p>
        </w:tc>
        <w:tc>
          <w:tcPr>
            <w:tcW w:w="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eastAsia="ro-RO"/>
              </w:rPr>
            </w:pP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eastAsia="ro-RO"/>
              </w:rPr>
            </w:pPr>
          </w:p>
        </w:tc>
        <w:tc>
          <w:tcPr>
            <w:tcW w:w="59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720"/>
        </w:trPr>
        <w:tc>
          <w:tcPr>
            <w:tcW w:w="2601" w:type="dxa"/>
            <w:gridSpan w:val="3"/>
            <w:tcBorders>
              <w:top w:val="single" w:sz="8" w:space="0" w:color="auto"/>
              <w:left w:val="single" w:sz="8" w:space="0" w:color="auto"/>
              <w:bottom w:val="single" w:sz="8" w:space="0" w:color="auto"/>
              <w:right w:val="single" w:sz="8" w:space="0" w:color="auto"/>
            </w:tcBorders>
            <w:shd w:val="clear" w:color="auto" w:fill="EADBF5"/>
            <w:vAlign w:val="bottom"/>
          </w:tcPr>
          <w:p>
            <w:pPr>
              <w:spacing w:after="0" w:line="240" w:lineRule="auto"/>
              <w:ind w:left="360" w:hanging="360"/>
              <w:jc w:val="both"/>
              <w:rPr>
                <w:rFonts w:ascii="Trebuchet MS" w:hAnsi="Trebuchet MS"/>
                <w:b/>
                <w:sz w:val="18"/>
                <w:szCs w:val="18"/>
              </w:rPr>
            </w:pPr>
            <w:r>
              <w:rPr>
                <w:rFonts w:ascii="Trebuchet MS" w:hAnsi="Trebuchet MS"/>
                <w:b/>
                <w:sz w:val="18"/>
                <w:szCs w:val="18"/>
              </w:rPr>
              <w:t>Capitolul 3 - Cheltuieli pentru proiectare și asistență tehnică</w:t>
            </w:r>
          </w:p>
          <w:p>
            <w:pPr>
              <w:spacing w:after="0" w:line="240" w:lineRule="auto"/>
              <w:rPr>
                <w:rFonts w:ascii="Trebuchet MS" w:eastAsia="Times New Roman" w:hAnsi="Trebuchet MS"/>
                <w:color w:val="000000"/>
                <w:sz w:val="18"/>
                <w:szCs w:val="18"/>
                <w:lang w:eastAsia="ro-RO"/>
              </w:rPr>
            </w:pPr>
          </w:p>
        </w:tc>
        <w:tc>
          <w:tcPr>
            <w:tcW w:w="993"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eastAsia="ro-RO"/>
              </w:rPr>
            </w:pPr>
          </w:p>
        </w:tc>
        <w:tc>
          <w:tcPr>
            <w:tcW w:w="677" w:type="dxa"/>
            <w:gridSpan w:val="4"/>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eastAsia="ro-RO"/>
              </w:rPr>
            </w:pPr>
          </w:p>
        </w:tc>
        <w:tc>
          <w:tcPr>
            <w:tcW w:w="599"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316"/>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3.1 Studii de teren</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3.2 Taxe pentru obținerea  deavize, acorduri și autorizații</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850"/>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3.3 Proiectare și inginerie</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p>
            <w:pPr>
              <w:spacing w:line="240" w:lineRule="auto"/>
              <w:rPr>
                <w:rFonts w:ascii="Trebuchet MS" w:eastAsia="Times New Roman" w:hAnsi="Trebuchet MS"/>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p>
            <w:pPr>
              <w:spacing w:line="240" w:lineRule="auto"/>
              <w:rPr>
                <w:rFonts w:ascii="Trebuchet MS" w:eastAsia="Times New Roman" w:hAnsi="Trebuchet MS"/>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p>
            <w:pPr>
              <w:spacing w:line="240" w:lineRule="auto"/>
              <w:rPr>
                <w:rFonts w:ascii="Trebuchet MS" w:eastAsia="Times New Roman" w:hAnsi="Trebuchet MS"/>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p>
            <w:pPr>
              <w:spacing w:line="240" w:lineRule="auto"/>
              <w:rPr>
                <w:rFonts w:ascii="Trebuchet MS" w:eastAsia="Times New Roman" w:hAnsi="Trebuchet MS"/>
                <w:sz w:val="18"/>
                <w:szCs w:val="18"/>
                <w:lang w:eastAsia="ro-RO"/>
              </w:rPr>
            </w:pPr>
          </w:p>
        </w:tc>
      </w:tr>
      <w:tr>
        <w:trPr>
          <w:gridAfter w:val="1"/>
          <w:wAfter w:w="50" w:type="dxa"/>
          <w:trHeight w:val="271"/>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lastRenderedPageBreak/>
              <w:t>3.4 cheltuieli pentru consultanță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321"/>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3.5. cheltuieli cu asistență tehnică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471"/>
        </w:trPr>
        <w:tc>
          <w:tcPr>
            <w:tcW w:w="2601" w:type="dxa"/>
            <w:gridSpan w:val="3"/>
            <w:tcBorders>
              <w:top w:val="single" w:sz="8" w:space="0" w:color="auto"/>
              <w:left w:val="single" w:sz="8" w:space="0" w:color="auto"/>
              <w:bottom w:val="single" w:sz="8" w:space="0" w:color="auto"/>
              <w:right w:val="single" w:sz="8" w:space="0" w:color="auto"/>
            </w:tcBorders>
            <w:noWrap/>
            <w:vAlign w:val="bottom"/>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3.6 cheltuieli aferente managementului de proiect</w:t>
            </w:r>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Total Capitol 3</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9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r>
      <w:tr>
        <w:trPr>
          <w:trHeight w:val="329"/>
        </w:trPr>
        <w:tc>
          <w:tcPr>
            <w:tcW w:w="9900" w:type="dxa"/>
            <w:gridSpan w:val="18"/>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Capitolul 4 - Cheltuieli pentru investiția de bază</w:t>
            </w:r>
          </w:p>
        </w:tc>
        <w:tc>
          <w:tcPr>
            <w:tcW w:w="356"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c>
          <w:tcPr>
            <w:tcW w:w="634" w:type="dxa"/>
            <w:gridSpan w:val="3"/>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4.1 cheltuieli pentru construcții și instalații</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486"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90"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4.2. Dotări (se include utilaje, echipamente tehnologice şi funcţionale cu si fara montaj, dotari)</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486"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90"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4.3 Active necorporale</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486"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790"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Total Capitol 4</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486"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90"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Capitol 5 -  Alte cheltuieli</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5.1. Organizare de şantier</w:t>
            </w:r>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541" w:type="dxa"/>
            <w:gridSpan w:val="3"/>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eastAsia="ro-RO"/>
              </w:rPr>
            </w:pPr>
          </w:p>
        </w:tc>
        <w:tc>
          <w:tcPr>
            <w:tcW w:w="735"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5.1.1 cheltuieli pentru lucrări de construcțiiși</w:t>
            </w:r>
          </w:p>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instalații aferente organizării de șantier</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5.1.2 cheltuieli</w:t>
            </w:r>
          </w:p>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conexe organizării de șantier</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5.2 Cheltuieli pentru comisioane, cote, taxe</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5.3.  Cheltuieli diverse si neprevazute</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Total Capitol 5</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Capitolul 6 Cheltuieli de informare și publicitatea</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r>
      <w:tr>
        <w:trPr>
          <w:gridAfter w:val="2"/>
          <w:wAfter w:w="90" w:type="dxa"/>
          <w:trHeight w:val="525"/>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6.1 Cheltuieli de informare și publicitatea pentru proiect, care rezultă din obligațiile beneficiarului</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eastAsia="ro-RO"/>
              </w:rPr>
            </w:pPr>
          </w:p>
          <w:p>
            <w:pPr>
              <w:spacing w:after="0" w:line="240" w:lineRule="auto"/>
              <w:jc w:val="center"/>
              <w:rPr>
                <w:rFonts w:ascii="Trebuchet MS" w:eastAsia="Times New Roman" w:hAnsi="Trebuchet MS"/>
                <w:color w:val="000000"/>
                <w:sz w:val="18"/>
                <w:szCs w:val="18"/>
                <w:lang w:eastAsia="ro-RO"/>
              </w:rPr>
            </w:pPr>
          </w:p>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6.2 Cheltuieli de promovare a obiectivului de investiţie/produsului/ serviciului finanţat</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Total Capitol 6</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Capitolul 7 Cheltuieli cu auditul financiar extern  pentru proiect</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7.1 Cheltuieli cu auditul financiar extern pentru proiect</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Total Capitol 7</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eastAsia="ro-RO"/>
              </w:rPr>
            </w:pPr>
            <w:r>
              <w:rPr>
                <w:rFonts w:ascii="Trebuchet MS" w:eastAsia="Times New Roman" w:hAnsi="Trebuchet M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6BBEB"/>
            <w:noWrap/>
            <w:vAlign w:val="bottom"/>
            <w:hideMark/>
          </w:tcPr>
          <w:p>
            <w:pPr>
              <w:spacing w:after="0" w:line="240" w:lineRule="auto"/>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 Total general</w:t>
            </w:r>
          </w:p>
        </w:tc>
        <w:tc>
          <w:tcPr>
            <w:tcW w:w="993"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eastAsia="ro-RO"/>
              </w:rPr>
            </w:pPr>
            <w:r>
              <w:rPr>
                <w:rFonts w:ascii="Trebuchet MS" w:eastAsia="Times New Roman" w:hAnsi="Trebuchet MS"/>
                <w:b/>
                <w:bCs/>
                <w:color w:val="000000"/>
                <w:sz w:val="18"/>
                <w:szCs w:val="18"/>
                <w:lang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6BBEB"/>
          </w:tcPr>
          <w:p>
            <w:pPr>
              <w:spacing w:after="0" w:line="240" w:lineRule="auto"/>
              <w:jc w:val="center"/>
              <w:rPr>
                <w:rFonts w:ascii="Trebuchet MS" w:eastAsia="Times New Roman" w:hAnsi="Trebuchet MS"/>
                <w:b/>
                <w:bCs/>
                <w:color w:val="000000"/>
                <w:sz w:val="18"/>
                <w:szCs w:val="18"/>
                <w:lang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6BBEB"/>
          </w:tcPr>
          <w:p>
            <w:pPr>
              <w:spacing w:after="0" w:line="240" w:lineRule="auto"/>
              <w:jc w:val="center"/>
              <w:rPr>
                <w:rFonts w:ascii="Trebuchet MS" w:eastAsia="Times New Roman" w:hAnsi="Trebuchet MS"/>
                <w:b/>
                <w:bCs/>
                <w:color w:val="000000"/>
                <w:sz w:val="18"/>
                <w:szCs w:val="18"/>
                <w:lang w:eastAsia="ro-RO"/>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r>
              <w:rPr>
                <w:rFonts w:eastAsiaTheme="minorHAnsi" w:cs="Calibri"/>
                <w:b/>
                <w:bCs/>
                <w:color w:val="000000"/>
                <w:sz w:val="20"/>
                <w:szCs w:val="20"/>
                <w:lang w:val="ro-RO"/>
              </w:rPr>
              <w:lastRenderedPageBreak/>
              <w:t>Nr crt</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center"/>
              <w:rPr>
                <w:rFonts w:eastAsiaTheme="minorHAnsi" w:cs="Calibri"/>
                <w:b/>
                <w:bCs/>
                <w:color w:val="000000"/>
                <w:sz w:val="20"/>
                <w:szCs w:val="20"/>
                <w:lang w:val="ro-RO"/>
              </w:rPr>
            </w:pPr>
            <w:r>
              <w:rPr>
                <w:rFonts w:eastAsiaTheme="minorHAnsi" w:cs="Calibri"/>
                <w:b/>
                <w:bCs/>
                <w:color w:val="000000"/>
                <w:sz w:val="20"/>
                <w:szCs w:val="20"/>
                <w:lang w:val="ro-RO"/>
              </w:rPr>
              <w:t>SURSE DE FINANŢARE</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Valoare (lei)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r>
              <w:rPr>
                <w:rFonts w:eastAsiaTheme="minorHAnsi" w:cs="Calibri"/>
                <w:b/>
                <w:bCs/>
                <w:color w:val="000000"/>
                <w:sz w:val="20"/>
                <w:szCs w:val="20"/>
                <w:lang w:val="ro-RO"/>
              </w:rPr>
              <w:t>Valoarea totală a fisei de proiect, din care :</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I.a.</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Valoarea totala neeligibilă, inclusiv TVA aferenta</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I.b.</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 xml:space="preserve">Valoarea totala eligibilă </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II</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r>
              <w:rPr>
                <w:rFonts w:eastAsiaTheme="minorHAnsi" w:cs="Calibri"/>
                <w:b/>
                <w:bCs/>
                <w:color w:val="000000"/>
                <w:sz w:val="20"/>
                <w:szCs w:val="20"/>
                <w:lang w:val="ro-RO"/>
              </w:rPr>
              <w:t>Contribuţia proprie, din care :</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II.a.</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 xml:space="preserve">Contribuţia solicitantului la cheltuieli eligibile </w:t>
            </w:r>
          </w:p>
        </w:tc>
        <w:tc>
          <w:tcPr>
            <w:tcW w:w="1282" w:type="dxa"/>
            <w:gridSpan w:val="4"/>
            <w:tcBorders>
              <w:top w:val="single" w:sz="6" w:space="0" w:color="auto"/>
              <w:left w:val="single" w:sz="6" w:space="0" w:color="auto"/>
              <w:bottom w:val="single" w:sz="6" w:space="0" w:color="auto"/>
              <w:right w:val="single" w:sz="6" w:space="0" w:color="auto"/>
            </w:tcBorders>
            <w:shd w:val="solid" w:color="969696" w:fill="auto"/>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528"/>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II.b.</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Contribuţia solicitantului la cheltuieli neeligibile, inclusiv TVA aferenta</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III</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r>
              <w:rPr>
                <w:rFonts w:eastAsiaTheme="minorHAnsi" w:cs="Calibri"/>
                <w:b/>
                <w:bCs/>
                <w:color w:val="000000"/>
                <w:sz w:val="20"/>
                <w:szCs w:val="20"/>
                <w:lang w:val="ro-RO"/>
              </w:rPr>
              <w:t>ASISTENŢĂ FINANCIARĂ NERAMBURSABILĂ SOLICITATĂ</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0.00</w:t>
            </w:r>
          </w:p>
        </w:tc>
      </w:tr>
    </w:tbl>
    <w:p>
      <w:pPr>
        <w:jc w:val="both"/>
        <w:rPr>
          <w:lang w:val="ro-RO"/>
        </w:rPr>
      </w:pPr>
      <w:r>
        <w:rPr>
          <w:lang w:val="ro-RO"/>
        </w:rPr>
        <w:br w:type="page"/>
      </w:r>
      <w:bookmarkStart w:id="109" w:name="_Toc41298532"/>
    </w:p>
    <w:p>
      <w:pPr>
        <w:jc w:val="both"/>
        <w:rPr>
          <w:lang w:val="ro-RO"/>
        </w:rPr>
      </w:pPr>
      <w:r>
        <w:rPr>
          <w:lang w:val="ro-RO"/>
        </w:rPr>
        <w:lastRenderedPageBreak/>
        <w:t>Anexa 6 Acord de parteneriat</w:t>
      </w:r>
      <w:bookmarkEnd w:id="109"/>
    </w:p>
    <w:p>
      <w:pPr>
        <w:jc w:val="both"/>
      </w:pPr>
      <w:r>
        <w:t>Acord de parteneriat</w:t>
      </w:r>
    </w:p>
    <w:p>
      <w:pPr>
        <w:jc w:val="both"/>
        <w:rPr>
          <w:b/>
          <w:bCs/>
        </w:rPr>
      </w:pPr>
      <w:r>
        <w:rPr>
          <w:b/>
          <w:bCs/>
        </w:rPr>
        <w:t>Model orientativ</w:t>
      </w:r>
    </w:p>
    <w:p>
      <w:pPr>
        <w:jc w:val="both"/>
        <w:rPr>
          <w:lang w:val="ro-RO"/>
        </w:rPr>
      </w:pPr>
      <w:r>
        <w:rPr>
          <w:lang w:val="ro-RO"/>
        </w:rPr>
        <w:t>nr. _______/__________</w:t>
      </w:r>
    </w:p>
    <w:p>
      <w:pPr>
        <w:jc w:val="both"/>
      </w:pPr>
    </w:p>
    <w:p>
      <w:pPr>
        <w:jc w:val="both"/>
        <w:rPr>
          <w:i/>
        </w:rPr>
      </w:pPr>
      <w:r>
        <w:rPr>
          <w:b/>
        </w:rPr>
        <w:t xml:space="preserve">pentru realizarea proiectului </w:t>
      </w:r>
      <w:r>
        <w:rPr>
          <w:i/>
        </w:rPr>
        <w:t>&lt;denumireproiect&gt;</w:t>
      </w:r>
    </w:p>
    <w:p>
      <w:pPr>
        <w:jc w:val="both"/>
        <w:rPr>
          <w:b/>
          <w:i/>
        </w:rPr>
      </w:pPr>
      <w:r>
        <w:rPr>
          <w:b/>
        </w:rPr>
        <w:t>(</w:t>
      </w:r>
      <w:r>
        <w:rPr>
          <w:b/>
          <w:i/>
        </w:rPr>
        <w:t>acest document reprezintă un model orientativ în scopul reglementarii de principiu a aspectelor legale, financiare si de orice alta natură care pot interveni în implementarea în parteneriat a proiectului.</w:t>
      </w:r>
    </w:p>
    <w:p>
      <w:pPr>
        <w:jc w:val="both"/>
        <w:rPr>
          <w:b/>
          <w:i/>
        </w:rPr>
      </w:pPr>
      <w:r>
        <w:rPr>
          <w:b/>
          <w:i/>
        </w:rPr>
        <w:t>Acordul de parteneriatestesupuslegislației din Româniași se încheiepânăceltârziu la depunereacererii de finantareșiesteparteintegrantă din aceasta.)</w:t>
      </w:r>
    </w:p>
    <w:p>
      <w:pPr>
        <w:jc w:val="both"/>
        <w:rPr>
          <w:b/>
        </w:rPr>
      </w:pPr>
      <w:r>
        <w:rPr>
          <w:rFonts w:hAnsi="Arial"/>
          <w:b/>
          <w:i/>
          <w:highlight w:val="cyan"/>
        </w:rPr>
        <w:t>Ȋ</w:t>
      </w:r>
      <w:r>
        <w:rPr>
          <w:b/>
          <w:i/>
          <w:highlight w:val="cyan"/>
        </w:rPr>
        <w:t>nconformitate cu prevederile art. 33 din Normele metodologice aprobate prin H.G. nr. 93/2016</w:t>
      </w:r>
      <w:r>
        <w:rPr>
          <w:b/>
          <w:i/>
        </w:rPr>
        <w:t>, liderul de parteneriat, beneficiar al unuipoiect este responsabil cu asigurarea implementării proiectului și a respectării tuturor prevederilor contractului de finanțare, sens în care acesta trebuie să aibă în vedere includerea în acordul de parteneriat, după caz, a oricăror prevederi pe care acesta le consideră necesare și care nu contravin, în niciun fel, prevederilor contractului de finanțare, legislației comunitare și naționale incidente.</w:t>
      </w:r>
      <w:r>
        <w:rPr>
          <w:b/>
        </w:rPr>
        <w:t>)</w:t>
      </w:r>
    </w:p>
    <w:p>
      <w:pPr>
        <w:jc w:val="both"/>
      </w:pPr>
      <w:r>
        <w:t>Părţile</w:t>
      </w:r>
    </w:p>
    <w:p>
      <w:pPr>
        <w:jc w:val="both"/>
      </w:pPr>
      <w:r>
        <w:rPr>
          <w:i/>
          <w:iCs/>
          <w:lang w:eastAsia="sk-SK"/>
        </w:rPr>
        <w:t>denumirea completă a organizaţiei</w:t>
      </w:r>
      <w:r>
        <w:t xml:space="preserve">, cu sediul în </w:t>
      </w:r>
      <w:r>
        <w:rPr>
          <w:i/>
          <w:iCs/>
        </w:rPr>
        <w:t>adresa sediului</w:t>
      </w:r>
      <w:r>
        <w:t xml:space="preserve">, codul fiscal …, având calitatea de </w:t>
      </w:r>
      <w:r>
        <w:rPr>
          <w:b/>
          <w:bCs/>
        </w:rPr>
        <w:t>Lider de proiect(Partener 1)</w:t>
      </w:r>
      <w:r>
        <w:rPr>
          <w:i/>
        </w:rPr>
        <w:t>&lt;se vor insera datele de indentificare ale liderului de parteneriat și conturile distincte deschise pe codurile de identificare fiscală ale acestuia la unitatea teritorială a Trezoreriei Statului&gt;</w:t>
      </w:r>
      <w:r>
        <w:t>, astfel:</w:t>
      </w:r>
    </w:p>
    <w:p>
      <w:pPr>
        <w:jc w:val="both"/>
      </w:pPr>
      <w:r>
        <w:t>Contul de disponibilități(codul IBAN)pentru aplicarea mecanismului decontării cererilor de plată</w:t>
      </w:r>
      <w:r>
        <w:rPr>
          <w:rStyle w:val="FootnoteReference"/>
          <w:rFonts w:ascii="Trebuchet MS" w:hAnsi="Trebuchet MS"/>
        </w:rPr>
        <w:footnoteReference w:id="3"/>
      </w:r>
      <w:r>
        <w:t>:</w:t>
      </w:r>
      <w:r>
        <w:tab/>
        <w:t xml:space="preserve"> ……………………</w:t>
      </w:r>
      <w:r>
        <w:tab/>
      </w:r>
    </w:p>
    <w:p>
      <w:pPr>
        <w:jc w:val="both"/>
      </w:pPr>
      <w:r>
        <w:t>Denumirea/adresa unității Trezoreriei Statului: ……………………………</w:t>
      </w:r>
    </w:p>
    <w:p>
      <w:pPr>
        <w:jc w:val="both"/>
      </w:pPr>
    </w:p>
    <w:p>
      <w:pPr>
        <w:jc w:val="both"/>
      </w:pPr>
      <w:r>
        <w:t>Contul de venituri (codul IBAN în care se virează sumele aferente cererilor de rambursare</w:t>
      </w:r>
      <w:r>
        <w:rPr>
          <w:rStyle w:val="FootnoteReference"/>
          <w:rFonts w:ascii="Trebuchet MS" w:hAnsi="Trebuchet MS"/>
        </w:rPr>
        <w:footnoteReference w:id="4"/>
      </w:r>
      <w:r>
        <w:t>:………</w:t>
      </w:r>
    </w:p>
    <w:p>
      <w:pPr>
        <w:jc w:val="both"/>
      </w:pPr>
      <w:r>
        <w:lastRenderedPageBreak/>
        <w:t>Denumirea/adresa unității Trezoreriei Statului: ……………………………</w:t>
      </w:r>
    </w:p>
    <w:p>
      <w:pPr>
        <w:jc w:val="both"/>
      </w:pPr>
      <w:r>
        <w:rPr>
          <w:i/>
          <w:iCs/>
          <w:lang w:eastAsia="sk-SK"/>
        </w:rPr>
        <w:t>denumirea completă a organizaţiei</w:t>
      </w:r>
      <w:r>
        <w:t xml:space="preserve">, cu sediul în </w:t>
      </w:r>
      <w:r>
        <w:rPr>
          <w:i/>
          <w:iCs/>
        </w:rPr>
        <w:t>adresa sediului</w:t>
      </w:r>
      <w:r>
        <w:t xml:space="preserve">,  codul fiscal …, având calitatea de </w:t>
      </w:r>
      <w:r>
        <w:rPr>
          <w:b/>
          <w:bCs/>
        </w:rPr>
        <w:t>Partener 2</w:t>
      </w:r>
      <w:r>
        <w:rPr>
          <w:i/>
        </w:rPr>
        <w:t>&lt;se vor insera datele de indentificare ale partenerului și, dacă este cazul, conturile distincte deschise pe codurile de identificare fiscală ale acestuia la unitatea teritorială a Trezoreriei Statului&gt;, astfel:</w:t>
      </w:r>
    </w:p>
    <w:p>
      <w:pPr>
        <w:jc w:val="both"/>
      </w:pPr>
      <w:r>
        <w:t>Contul de disponibilități(codul IBAN) pentru aplicarea mecanismului decontării cererilorde plată:</w:t>
      </w:r>
      <w:r>
        <w:tab/>
        <w:t xml:space="preserve"> ……………………</w:t>
      </w:r>
      <w:r>
        <w:tab/>
      </w:r>
    </w:p>
    <w:p>
      <w:pPr>
        <w:jc w:val="both"/>
      </w:pPr>
      <w:r>
        <w:t>Denumirea/adresa unității Trezoreriei Statului: ……………………………</w:t>
      </w:r>
    </w:p>
    <w:p>
      <w:pPr>
        <w:jc w:val="both"/>
      </w:pPr>
      <w:r>
        <w:t>Contul de venituri(codul IBAN)în care se virează sumele aferente cererilor de rambursare:………</w:t>
      </w:r>
    </w:p>
    <w:p>
      <w:pPr>
        <w:jc w:val="both"/>
      </w:pPr>
      <w:r>
        <w:t>Denumirea/adresa unității Trezoreriei Statului: ……………………………</w:t>
      </w:r>
    </w:p>
    <w:p>
      <w:pPr>
        <w:jc w:val="both"/>
      </w:pPr>
      <w:r>
        <w:rPr>
          <w:i/>
          <w:iCs/>
          <w:lang w:eastAsia="sk-SK"/>
        </w:rPr>
        <w:t>denumirea completă a organizaţiei</w:t>
      </w:r>
      <w:r>
        <w:t xml:space="preserve">, cu sediul în </w:t>
      </w:r>
      <w:r>
        <w:rPr>
          <w:i/>
          <w:iCs/>
        </w:rPr>
        <w:t>adresa sediului</w:t>
      </w:r>
      <w:r>
        <w:t xml:space="preserve">,  codul fiscal …, având calitatea de </w:t>
      </w:r>
      <w:r>
        <w:rPr>
          <w:b/>
          <w:bCs/>
        </w:rPr>
        <w:t xml:space="preserve">Partener n, </w:t>
      </w:r>
      <w:r>
        <w:t xml:space="preserve">unde </w:t>
      </w:r>
      <w:r>
        <w:rPr>
          <w:i/>
          <w:iCs/>
        </w:rPr>
        <w:t>n</w:t>
      </w:r>
      <w:r>
        <w:rPr>
          <w:i/>
          <w:iCs/>
          <w:lang w:val="fr-FR"/>
        </w:rPr>
        <w:t xml:space="preserve">= </w:t>
      </w:r>
      <w:r>
        <w:rPr>
          <w:i/>
          <w:iCs/>
        </w:rPr>
        <w:t>numărul total de membri ai parteneriatului</w:t>
      </w:r>
      <w:r>
        <w:rPr>
          <w:i/>
        </w:rPr>
        <w:t>&lt;se vor insera datele de indentificare ale partenerului și conturile distincte deschise pe codurile de identificare fiscală ale acestuia la unitatea teritorială a Trezoreriei Statului, după modelul de mai sus&gt;.</w:t>
      </w:r>
    </w:p>
    <w:p>
      <w:pPr>
        <w:jc w:val="both"/>
      </w:pPr>
      <w:r>
        <w:t>au convenit următoarele:</w:t>
      </w:r>
    </w:p>
    <w:p>
      <w:pPr>
        <w:jc w:val="both"/>
      </w:pPr>
      <w:r>
        <w:t>Obiectul</w:t>
      </w:r>
    </w:p>
    <w:p>
      <w:pPr>
        <w:jc w:val="both"/>
      </w:pPr>
      <w: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w:t>
      </w:r>
      <w:r>
        <w:rPr>
          <w:i/>
          <w:iCs/>
        </w:rPr>
        <w:t>titlul proiectului</w:t>
      </w:r>
      <w:r>
        <w:t>, care este depus încadrul Programului Operaţional Regional 2014-2020, Axa prioritară ........ Prioritatea de investiție ..........., Obiectiv specific..., apel de proiecte</w:t>
      </w:r>
      <w:r>
        <w:rPr>
          <w:i/>
        </w:rPr>
        <w:t xml:space="preserve"> (Cod generat MySMIS și denumire)</w:t>
      </w:r>
      <w:r>
        <w:t xml:space="preserve"> .............,  precum și pe perioada de durabilitate și de valabilitatea contractului de finanțare. </w:t>
      </w:r>
    </w:p>
    <w:p>
      <w:pPr>
        <w:jc w:val="both"/>
      </w:pPr>
      <w:r>
        <w:t>Prezentul acord se constituie anexă la cererea de finanţare.</w:t>
      </w:r>
    </w:p>
    <w:p>
      <w:pPr>
        <w:jc w:val="both"/>
      </w:pPr>
    </w:p>
    <w:p>
      <w:pPr>
        <w:jc w:val="both"/>
      </w:pPr>
      <w:r>
        <w:t>Rolurişiresponsabilităţiînimplementareaproiectului</w:t>
      </w:r>
    </w:p>
    <w:p>
      <w:pPr>
        <w:jc w:val="both"/>
        <w:rPr>
          <w:b/>
          <w:bCs/>
        </w:rPr>
      </w:pPr>
      <w:r>
        <w:rPr>
          <w:b/>
          <w:bCs/>
        </w:rPr>
        <w:t>Rolurile şi responsabilităţile sunt descrise în tabelul de mai jos şicorespund prevederilor din Cererea de finanţare:</w:t>
      </w:r>
    </w:p>
    <w:p>
      <w:pPr>
        <w:jc w:val="both"/>
      </w:pPr>
    </w:p>
    <w:tbl>
      <w:tblPr>
        <w:tblW w:w="8014" w:type="dxa"/>
        <w:tblInd w:w="648" w:type="dxa"/>
        <w:tblBorders>
          <w:bottom w:val="single" w:sz="4" w:space="0" w:color="808080"/>
          <w:insideH w:val="single" w:sz="4" w:space="0" w:color="808080"/>
        </w:tblBorders>
        <w:tblLook w:val="04A0" w:firstRow="1" w:lastRow="0" w:firstColumn="1" w:lastColumn="0" w:noHBand="0" w:noVBand="1"/>
      </w:tblPr>
      <w:tblGrid>
        <w:gridCol w:w="2541"/>
        <w:gridCol w:w="5473"/>
      </w:tblGrid>
      <w:tr>
        <w:trPr>
          <w:trHeight w:val="441"/>
        </w:trPr>
        <w:tc>
          <w:tcPr>
            <w:tcW w:w="2541" w:type="dxa"/>
            <w:tcBorders>
              <w:top w:val="single" w:sz="4" w:space="0" w:color="808080"/>
              <w:left w:val="nil"/>
              <w:bottom w:val="single" w:sz="4" w:space="0" w:color="808080"/>
              <w:right w:val="nil"/>
            </w:tcBorders>
            <w:hideMark/>
          </w:tcPr>
          <w:p>
            <w:pPr>
              <w:jc w:val="both"/>
              <w:rPr>
                <w:b/>
                <w:bCs/>
              </w:rPr>
            </w:pPr>
            <w:r>
              <w:rPr>
                <w:b/>
                <w:bCs/>
              </w:rPr>
              <w:t>Organizaţia</w:t>
            </w:r>
            <w:r>
              <w:rPr>
                <w:b/>
                <w:bCs/>
              </w:rPr>
              <w:tab/>
            </w:r>
          </w:p>
        </w:tc>
        <w:tc>
          <w:tcPr>
            <w:tcW w:w="5473" w:type="dxa"/>
            <w:tcBorders>
              <w:top w:val="single" w:sz="4" w:space="0" w:color="808080"/>
              <w:left w:val="nil"/>
              <w:bottom w:val="single" w:sz="4" w:space="0" w:color="808080"/>
              <w:right w:val="nil"/>
            </w:tcBorders>
            <w:hideMark/>
          </w:tcPr>
          <w:p>
            <w:pPr>
              <w:jc w:val="both"/>
              <w:rPr>
                <w:b/>
                <w:bCs/>
              </w:rPr>
            </w:pPr>
            <w:r>
              <w:rPr>
                <w:b/>
                <w:bCs/>
              </w:rPr>
              <w:t>Rolurişiresponsabilităţi</w:t>
            </w:r>
          </w:p>
        </w:tc>
      </w:tr>
      <w:tr>
        <w:trPr>
          <w:trHeight w:val="1379"/>
        </w:trPr>
        <w:tc>
          <w:tcPr>
            <w:tcW w:w="2541" w:type="dxa"/>
            <w:tcBorders>
              <w:top w:val="single" w:sz="4" w:space="0" w:color="808080"/>
              <w:left w:val="nil"/>
              <w:bottom w:val="single" w:sz="4" w:space="0" w:color="808080"/>
              <w:right w:val="nil"/>
            </w:tcBorders>
            <w:hideMark/>
          </w:tcPr>
          <w:p>
            <w:pPr>
              <w:jc w:val="both"/>
            </w:pPr>
            <w:r>
              <w:t>Lider de parteneriat(Partener 1)</w:t>
            </w:r>
          </w:p>
        </w:tc>
        <w:tc>
          <w:tcPr>
            <w:tcW w:w="5473" w:type="dxa"/>
            <w:tcBorders>
              <w:top w:val="single" w:sz="4" w:space="0" w:color="808080"/>
              <w:left w:val="nil"/>
              <w:bottom w:val="single" w:sz="4" w:space="0" w:color="808080"/>
              <w:right w:val="nil"/>
            </w:tcBorders>
            <w:hideMark/>
          </w:tcPr>
          <w:p>
            <w:pPr>
              <w:jc w:val="both"/>
            </w:pPr>
            <w:r>
              <w:t>Se vor descrie activităţile şi subactivităţile pe care fiecare partener trebuie să le implementeze, în strânsă corelare cu informaţiile furnizate în formularul cererii de finanţare</w:t>
            </w:r>
          </w:p>
          <w:p>
            <w:pPr>
              <w:jc w:val="both"/>
            </w:pPr>
            <w:r>
              <w:t>De asemenea, se va menționa valoarea estimată a fiecărei activități, defalcată pentru fiecare partener/lider de parteneriat</w:t>
            </w:r>
          </w:p>
        </w:tc>
      </w:tr>
      <w:tr>
        <w:trPr>
          <w:trHeight w:val="427"/>
        </w:trPr>
        <w:tc>
          <w:tcPr>
            <w:tcW w:w="2541" w:type="dxa"/>
            <w:tcBorders>
              <w:top w:val="single" w:sz="4" w:space="0" w:color="808080"/>
              <w:left w:val="nil"/>
              <w:bottom w:val="single" w:sz="4" w:space="0" w:color="808080"/>
              <w:right w:val="nil"/>
            </w:tcBorders>
            <w:hideMark/>
          </w:tcPr>
          <w:p>
            <w:pPr>
              <w:jc w:val="both"/>
            </w:pPr>
            <w:r>
              <w:t>Partener 2</w:t>
            </w:r>
          </w:p>
        </w:tc>
        <w:tc>
          <w:tcPr>
            <w:tcW w:w="5473" w:type="dxa"/>
            <w:tcBorders>
              <w:top w:val="single" w:sz="4" w:space="0" w:color="808080"/>
              <w:left w:val="nil"/>
              <w:bottom w:val="single" w:sz="4" w:space="0" w:color="808080"/>
              <w:right w:val="nil"/>
            </w:tcBorders>
          </w:tcPr>
          <w:p>
            <w:pPr>
              <w:jc w:val="both"/>
            </w:pPr>
            <w:r>
              <w:t>idem</w:t>
            </w:r>
          </w:p>
        </w:tc>
      </w:tr>
      <w:tr>
        <w:trPr>
          <w:trHeight w:val="441"/>
        </w:trPr>
        <w:tc>
          <w:tcPr>
            <w:tcW w:w="2541" w:type="dxa"/>
            <w:tcBorders>
              <w:top w:val="single" w:sz="4" w:space="0" w:color="808080"/>
              <w:left w:val="nil"/>
              <w:bottom w:val="single" w:sz="4" w:space="0" w:color="808080"/>
              <w:right w:val="nil"/>
            </w:tcBorders>
            <w:hideMark/>
          </w:tcPr>
          <w:p>
            <w:pPr>
              <w:jc w:val="both"/>
            </w:pPr>
            <w:r>
              <w:t>Partener  n</w:t>
            </w:r>
          </w:p>
        </w:tc>
        <w:tc>
          <w:tcPr>
            <w:tcW w:w="5473" w:type="dxa"/>
            <w:tcBorders>
              <w:top w:val="single" w:sz="4" w:space="0" w:color="808080"/>
              <w:left w:val="nil"/>
              <w:bottom w:val="single" w:sz="4" w:space="0" w:color="808080"/>
              <w:right w:val="nil"/>
            </w:tcBorders>
          </w:tcPr>
          <w:p>
            <w:pPr>
              <w:jc w:val="both"/>
            </w:pPr>
            <w:r>
              <w:t>idem</w:t>
            </w:r>
          </w:p>
        </w:tc>
      </w:tr>
    </w:tbl>
    <w:p>
      <w:pPr>
        <w:jc w:val="both"/>
      </w:pPr>
    </w:p>
    <w:p>
      <w:pPr>
        <w:jc w:val="both"/>
        <w:rPr>
          <w:b/>
          <w:bCs/>
        </w:rPr>
      </w:pPr>
      <w:r>
        <w:rPr>
          <w:b/>
          <w:bCs/>
        </w:rPr>
        <w:t>Contribuţia la co-finanţarea cheltuielilor totale ale proiectului</w:t>
      </w:r>
    </w:p>
    <w:p>
      <w:pPr>
        <w:jc w:val="both"/>
        <w:rPr>
          <w:b/>
          <w:bCs/>
        </w:rPr>
      </w:pPr>
      <w:r>
        <w:rPr>
          <w:b/>
          <w:bCs/>
        </w:rPr>
        <w:t>Partenerii vor asigura contribuţia la co-finanţarea cheltuielilor totale ale proiectului aşa cum esteprecizat în Cererea de finanţare şi înprezentul acord.</w:t>
      </w:r>
    </w:p>
    <w:p>
      <w:pPr>
        <w:jc w:val="both"/>
      </w:pPr>
    </w:p>
    <w:tbl>
      <w:tblPr>
        <w:tblW w:w="8045" w:type="dxa"/>
        <w:tblInd w:w="648" w:type="dxa"/>
        <w:tblBorders>
          <w:bottom w:val="single" w:sz="4" w:space="0" w:color="808080"/>
          <w:insideH w:val="single" w:sz="4" w:space="0" w:color="808080"/>
        </w:tblBorders>
        <w:tblLook w:val="04A0" w:firstRow="1" w:lastRow="0" w:firstColumn="1" w:lastColumn="0" w:noHBand="0" w:noVBand="1"/>
      </w:tblPr>
      <w:tblGrid>
        <w:gridCol w:w="2551"/>
        <w:gridCol w:w="5494"/>
      </w:tblGrid>
      <w:tr>
        <w:trPr>
          <w:trHeight w:val="463"/>
        </w:trPr>
        <w:tc>
          <w:tcPr>
            <w:tcW w:w="2551" w:type="dxa"/>
            <w:tcBorders>
              <w:top w:val="single" w:sz="4" w:space="0" w:color="808080"/>
              <w:left w:val="nil"/>
              <w:bottom w:val="single" w:sz="4" w:space="0" w:color="808080"/>
              <w:right w:val="nil"/>
            </w:tcBorders>
            <w:hideMark/>
          </w:tcPr>
          <w:p>
            <w:pPr>
              <w:jc w:val="both"/>
              <w:rPr>
                <w:b/>
                <w:bCs/>
              </w:rPr>
            </w:pPr>
            <w:r>
              <w:rPr>
                <w:b/>
                <w:bCs/>
              </w:rPr>
              <w:t>Organizaţia</w:t>
            </w:r>
            <w:r>
              <w:rPr>
                <w:b/>
                <w:bCs/>
              </w:rPr>
              <w:tab/>
            </w:r>
          </w:p>
        </w:tc>
        <w:tc>
          <w:tcPr>
            <w:tcW w:w="5494" w:type="dxa"/>
            <w:tcBorders>
              <w:top w:val="single" w:sz="4" w:space="0" w:color="808080"/>
              <w:left w:val="nil"/>
              <w:bottom w:val="single" w:sz="4" w:space="0" w:color="808080"/>
              <w:right w:val="nil"/>
            </w:tcBorders>
            <w:hideMark/>
          </w:tcPr>
          <w:p>
            <w:pPr>
              <w:jc w:val="both"/>
              <w:rPr>
                <w:b/>
                <w:bCs/>
              </w:rPr>
            </w:pPr>
            <w:r>
              <w:rPr>
                <w:b/>
                <w:bCs/>
              </w:rPr>
              <w:t>Contribuţia (unde este cazul)</w:t>
            </w:r>
          </w:p>
        </w:tc>
      </w:tr>
      <w:tr>
        <w:trPr>
          <w:trHeight w:val="1358"/>
        </w:trPr>
        <w:tc>
          <w:tcPr>
            <w:tcW w:w="2551" w:type="dxa"/>
            <w:tcBorders>
              <w:top w:val="single" w:sz="4" w:space="0" w:color="808080"/>
              <w:left w:val="nil"/>
              <w:bottom w:val="single" w:sz="4" w:space="0" w:color="808080"/>
              <w:right w:val="nil"/>
            </w:tcBorders>
            <w:hideMark/>
          </w:tcPr>
          <w:p>
            <w:pPr>
              <w:jc w:val="both"/>
            </w:pPr>
            <w:r>
              <w:t>Lider de parteriat (Partener 1)</w:t>
            </w:r>
          </w:p>
        </w:tc>
        <w:tc>
          <w:tcPr>
            <w:tcW w:w="5494" w:type="dxa"/>
            <w:tcBorders>
              <w:top w:val="single" w:sz="4" w:space="0" w:color="808080"/>
              <w:left w:val="nil"/>
              <w:bottom w:val="single" w:sz="4" w:space="0" w:color="808080"/>
              <w:right w:val="nil"/>
            </w:tcBorders>
            <w:hideMark/>
          </w:tcPr>
          <w:p>
            <w:pPr>
              <w:jc w:val="both"/>
            </w:pPr>
            <w:r>
              <w:t xml:space="preserve">Valoarea contribuţiei la total cheltuieli eligibile (în lei și %) </w:t>
            </w:r>
          </w:p>
          <w:p>
            <w:pPr>
              <w:jc w:val="both"/>
            </w:pPr>
            <w:r>
              <w:t xml:space="preserve">Valoarea contribuţiei la total  cheltuieli neeligibile (în lei și %) </w:t>
            </w:r>
          </w:p>
          <w:p>
            <w:pPr>
              <w:jc w:val="both"/>
            </w:pPr>
            <w:r>
              <w:t>Valoarea contribuției la valoarea totală a proiectului (în lei și %)</w:t>
            </w:r>
          </w:p>
          <w:p>
            <w:pPr>
              <w:jc w:val="both"/>
            </w:pPr>
          </w:p>
        </w:tc>
      </w:tr>
      <w:tr>
        <w:trPr>
          <w:trHeight w:val="463"/>
        </w:trPr>
        <w:tc>
          <w:tcPr>
            <w:tcW w:w="2551" w:type="dxa"/>
            <w:tcBorders>
              <w:top w:val="single" w:sz="4" w:space="0" w:color="808080"/>
              <w:left w:val="nil"/>
              <w:bottom w:val="single" w:sz="4" w:space="0" w:color="808080"/>
              <w:right w:val="nil"/>
            </w:tcBorders>
            <w:hideMark/>
          </w:tcPr>
          <w:p>
            <w:pPr>
              <w:jc w:val="both"/>
            </w:pPr>
            <w:r>
              <w:t>Partener 2</w:t>
            </w:r>
          </w:p>
        </w:tc>
        <w:tc>
          <w:tcPr>
            <w:tcW w:w="5494" w:type="dxa"/>
            <w:tcBorders>
              <w:top w:val="single" w:sz="4" w:space="0" w:color="808080"/>
              <w:left w:val="nil"/>
              <w:bottom w:val="single" w:sz="4" w:space="0" w:color="808080"/>
              <w:right w:val="nil"/>
            </w:tcBorders>
          </w:tcPr>
          <w:p>
            <w:pPr>
              <w:jc w:val="both"/>
            </w:pPr>
          </w:p>
        </w:tc>
      </w:tr>
      <w:tr>
        <w:trPr>
          <w:trHeight w:val="477"/>
        </w:trPr>
        <w:tc>
          <w:tcPr>
            <w:tcW w:w="2551" w:type="dxa"/>
            <w:tcBorders>
              <w:top w:val="single" w:sz="4" w:space="0" w:color="808080"/>
              <w:left w:val="nil"/>
              <w:bottom w:val="single" w:sz="4" w:space="0" w:color="808080"/>
              <w:right w:val="nil"/>
            </w:tcBorders>
            <w:hideMark/>
          </w:tcPr>
          <w:p>
            <w:pPr>
              <w:jc w:val="both"/>
            </w:pPr>
            <w:r>
              <w:t>Partener n</w:t>
            </w:r>
          </w:p>
        </w:tc>
        <w:tc>
          <w:tcPr>
            <w:tcW w:w="5494" w:type="dxa"/>
            <w:tcBorders>
              <w:top w:val="single" w:sz="4" w:space="0" w:color="808080"/>
              <w:left w:val="nil"/>
              <w:bottom w:val="single" w:sz="4" w:space="0" w:color="808080"/>
              <w:right w:val="nil"/>
            </w:tcBorders>
            <w:hideMark/>
          </w:tcPr>
          <w:p>
            <w:pPr>
              <w:jc w:val="both"/>
            </w:pPr>
          </w:p>
        </w:tc>
      </w:tr>
    </w:tbl>
    <w:p>
      <w:pPr>
        <w:jc w:val="both"/>
        <w:rPr>
          <w:b/>
          <w:bCs/>
        </w:rPr>
      </w:pPr>
      <w:r>
        <w:rPr>
          <w:b/>
          <w:bCs/>
        </w:rPr>
        <w:t>Plăţile</w:t>
      </w:r>
    </w:p>
    <w:p>
      <w:pPr>
        <w:jc w:val="both"/>
      </w:pPr>
      <w:r>
        <w:t xml:space="preserve">Responsabilitățile privind derularea fluxurilor financiare se vor realiza în conformitate cu prevederile Ordonanţei de urgenţă a Guvernului nr. 40/2015 privind gestionarea financiară a fondurilor </w:t>
      </w:r>
      <w:r>
        <w:lastRenderedPageBreak/>
        <w:t xml:space="preserve">europene pentru perioada de programare 2014-2020 și ale Normelor metodologice de aplicare a prevederilor Ordonanţei de urgenţă a Guvernului nr. 40/2015 privind gestionarea financiară a fondurilo reuropene pentru perioada de programare 2014-2020, aprobate prin HG nr. 93/2016. </w:t>
      </w:r>
      <w:r>
        <w:rPr>
          <w:rFonts w:hAnsi="Arial"/>
        </w:rPr>
        <w:t>Ȋ</w:t>
      </w:r>
      <w:r>
        <w:t>n acest sens, se vor inlude înacordul de parteneriat prevederi precum următoarele:</w:t>
      </w:r>
    </w:p>
    <w:p>
      <w:pPr>
        <w:jc w:val="both"/>
      </w:pPr>
    </w:p>
    <w:p>
      <w:pPr>
        <w:pStyle w:val="ListParagraph"/>
        <w:numPr>
          <w:ilvl w:val="0"/>
          <w:numId w:val="51"/>
        </w:numPr>
        <w:jc w:val="both"/>
      </w:pPr>
      <w:r>
        <w:t>pentru decontarea cheltuielilor rambursabile fiecare partener va depune la liderul de parteneriat o cerere de rambursare/plată pentru cheltuielile efectuate conform acordului de parteriat şi toate documentele justificative, inclusiv dosarul achiziţiilor publice derulate de aceştia;</w:t>
      </w:r>
    </w:p>
    <w:p>
      <w:pPr>
        <w:pStyle w:val="ListParagraph"/>
        <w:numPr>
          <w:ilvl w:val="0"/>
          <w:numId w:val="51"/>
        </w:numPr>
        <w:jc w:val="both"/>
      </w:pPr>
      <w:r>
        <w:t>liderul de parteneriat este responsabil cu depunerea cererile de rambursare/plată către OI/autoritatea de management</w:t>
      </w:r>
      <w:r>
        <w:rPr>
          <w:rStyle w:val="FootnoteReference"/>
          <w:rFonts w:ascii="Trebuchet MS" w:hAnsi="Trebuchet MS"/>
          <w:bCs/>
        </w:rPr>
        <w:footnoteReference w:id="5"/>
      </w:r>
      <w:r>
        <w:t>, iar autoritatea de management virează, după efectuarea verificărilor necesare, valoarea cheltuielilor nerambursabile în conturile liderului de parteneriat/partenerilor care le-au efectuat, și în concordanță cu valoarea corespunzătoare a ctivității/activităților proprii din proiect, asumate conform prevederilor art.  3, alin. (1) și(2) din acordul de parteneriat.</w:t>
      </w:r>
    </w:p>
    <w:p>
      <w:pPr>
        <w:pStyle w:val="ListParagraph"/>
        <w:numPr>
          <w:ilvl w:val="0"/>
          <w:numId w:val="51"/>
        </w:numPr>
        <w:jc w:val="both"/>
      </w:pPr>
      <w:r>
        <w:t>liderul de parteneriat şi partenerii - instituţii publice şi cuprind în bugetul propriu sumele pentru creditele de angajament şi creditele bugetare în limitas umei necesare finanțării valorii corespunzătoare activității/activităților proprii din proiect, asumate conform prevederilor acordului de parteneriat, anexă la cererea de finanțare</w:t>
      </w:r>
      <w:r>
        <w:rPr>
          <w:rStyle w:val="FootnoteReference"/>
          <w:rFonts w:ascii="Trebuchet MS" w:hAnsi="Trebuchet MS"/>
          <w:bCs/>
        </w:rPr>
        <w:footnoteReference w:id="6"/>
      </w:r>
      <w:r>
        <w:t>.</w:t>
      </w:r>
    </w:p>
    <w:p>
      <w:pPr>
        <w:jc w:val="both"/>
      </w:pPr>
      <w:r>
        <w:t>Perioada de valabilitateaacordului de parteneriat</w:t>
      </w:r>
    </w:p>
    <w:p>
      <w:pPr>
        <w:jc w:val="both"/>
        <w:rPr>
          <w:bCs/>
        </w:rPr>
      </w:pPr>
      <w:r>
        <w:rPr>
          <w:bCs/>
        </w:rPr>
        <w:t xml:space="preserve">Perioada de valabilitate a acordului începe la data semnării prezentului Acord și încetează la data la care </w:t>
      </w:r>
      <w:r>
        <w:rPr>
          <w:bCs/>
        </w:rPr>
        <w:tab/>
        <w:t xml:space="preserve">Contractul de Finanțare aferent proiectului își încetează valabilitatea. Prelungirea perioadei de valabilitate a contractului de finanțare conduce automat la extinderea Perioadei de valabilitate a prezentului acord. </w:t>
      </w:r>
    </w:p>
    <w:p>
      <w:pPr>
        <w:jc w:val="both"/>
      </w:pPr>
      <w:r>
        <w:t>Drepturile şi obligaţiile liderului de parteneriat (Partenerului 1)</w:t>
      </w:r>
    </w:p>
    <w:p>
      <w:pPr>
        <w:jc w:val="both"/>
      </w:pPr>
      <w:r>
        <w:t>Drepturile liderului de parteneriat</w:t>
      </w:r>
    </w:p>
    <w:p>
      <w:pPr>
        <w:pStyle w:val="ListParagraph"/>
        <w:numPr>
          <w:ilvl w:val="0"/>
          <w:numId w:val="53"/>
        </w:numPr>
        <w:jc w:val="both"/>
        <w:rPr>
          <w:bCs/>
        </w:rPr>
      </w:pPr>
      <w:r>
        <w:rPr>
          <w:bCs/>
        </w:rPr>
        <w:t>Liderul de proiect parteneriat are dreptul să solicite celorlalţi parteneri furnizarea oricăror informaţii şi documente legate de proiect, în scopul elaborării rapoartelor de progres, a cererilor de rambursare/plată, sau a verificării respectări inormelor în vigoare privind atribuirea contractelor de achiziţie.</w:t>
      </w:r>
    </w:p>
    <w:p>
      <w:pPr>
        <w:jc w:val="both"/>
        <w:rPr>
          <w:bCs/>
        </w:rPr>
      </w:pPr>
      <w:r>
        <w:t>Obligaţiile liderului de parteneriat</w:t>
      </w:r>
    </w:p>
    <w:p>
      <w:pPr>
        <w:pStyle w:val="ListParagraph"/>
        <w:numPr>
          <w:ilvl w:val="0"/>
          <w:numId w:val="54"/>
        </w:numPr>
        <w:jc w:val="both"/>
        <w:rPr>
          <w:bCs/>
        </w:rPr>
      </w:pPr>
      <w:r>
        <w:rPr>
          <w:bCs/>
        </w:rPr>
        <w:t>Liderul de parteneriat (Partener 1) va semna Cererea de finanţare şi Contractul de finanţare.</w:t>
      </w:r>
    </w:p>
    <w:p>
      <w:pPr>
        <w:pStyle w:val="ListParagraph"/>
        <w:numPr>
          <w:ilvl w:val="0"/>
          <w:numId w:val="54"/>
        </w:numPr>
        <w:jc w:val="both"/>
        <w:rPr>
          <w:bCs/>
        </w:rPr>
      </w:pPr>
      <w:r>
        <w:rPr>
          <w:bCs/>
        </w:rPr>
        <w:lastRenderedPageBreak/>
        <w:t>Liderul de parteneriat (Partener 1) va consulta partenerii cu regularitate, îi va informa despre progresul în implementarea proiectului şi le va furniza copii ale rapoartelor de progres şi financiare.</w:t>
      </w:r>
    </w:p>
    <w:p>
      <w:pPr>
        <w:pStyle w:val="ListParagraph"/>
        <w:numPr>
          <w:ilvl w:val="0"/>
          <w:numId w:val="54"/>
        </w:numPr>
        <w:jc w:val="both"/>
        <w:rPr>
          <w:b/>
          <w:bCs/>
        </w:rPr>
      </w:pPr>
      <w:r>
        <w:rPr>
          <w:bCs/>
        </w:rPr>
        <w:t>Propunerile pentru modificări importante ale proiectului (e.g. activităţi, parteneri etc.), trebuie să fie convenite cu partenerii înaintea solicitării aprobării de către Autoritatea de management / Organismul intermediar POR.</w:t>
      </w:r>
      <w:r>
        <w:rPr>
          <w:b/>
          <w:bCs/>
        </w:rPr>
        <w:t xml:space="preserve"> </w:t>
      </w:r>
    </w:p>
    <w:p>
      <w:pPr>
        <w:pStyle w:val="ListParagraph"/>
        <w:numPr>
          <w:ilvl w:val="0"/>
          <w:numId w:val="54"/>
        </w:numPr>
        <w:jc w:val="both"/>
      </w:pPr>
      <w:r>
        <w:rPr>
          <w:bCs/>
        </w:rPr>
        <w:t xml:space="preserve">Liderul de parteneriat </w:t>
      </w:r>
      <w:r>
        <w:t xml:space="preserve">este responsabil cu transmiterea </w:t>
      </w:r>
      <w:r>
        <w:rPr>
          <w:bCs/>
        </w:rPr>
        <w:t>cătreOI/autoritatea de management a cererilor de rambursare/plată, împreună cu documentele justificative, rapoartele de progres etc., conform prevederilor contractuale și procedurale.</w:t>
      </w:r>
    </w:p>
    <w:p>
      <w:pPr>
        <w:pStyle w:val="ListParagraph"/>
        <w:numPr>
          <w:ilvl w:val="0"/>
          <w:numId w:val="54"/>
        </w:numPr>
        <w:jc w:val="both"/>
      </w:pPr>
      <w:r>
        <w:t xml:space="preserve">Liderul de parteneriat are obligaţia îndosarierii și păstrării tuturor documentelor proiectului în original precum şi copii ale documentelor partenerilor, inclusiv documentele contabile, privind activităţile şi cheltuielile eligibile învederea asigurării unei piste de audit adecvate, în conformitate cu legislația comunitară şi naţională. Toate documentele vor fi păstrate până la închiderea oficială a Programului sau până la expirarea perioadei de durabilitate a proiectului, oricare intervine ultima. </w:t>
      </w:r>
    </w:p>
    <w:p>
      <w:pPr>
        <w:jc w:val="both"/>
      </w:pPr>
      <w:r>
        <w:rPr>
          <w:rFonts w:hAnsi="Arial"/>
          <w:bCs/>
        </w:rPr>
        <w:t>Ȋ</w:t>
      </w:r>
      <w:r>
        <w:rPr>
          <w:bCs/>
        </w:rPr>
        <w:t xml:space="preserve">n cazul în care autorităţile cu competenţe în gestionarea fondurilor europene constată neîndeplinirea sau îndeplinirea parţială a  indicatorilor de rezultat/ obiectivelor proiectului, înconformitate cu prevederile art. 6 din OUG nr. 66/2011, în  funcţie de gradul de realizare a indicatorilor de rezultat/ obiectivelor aferenți activităților proprii, liderul de parteneriat și partenerii răspund proporțional sau în solidar pentru reducerile aplicate din sumele solicitate la rambursare/plată.  </w:t>
      </w:r>
    </w:p>
    <w:p>
      <w:pPr>
        <w:jc w:val="both"/>
      </w:pPr>
      <w:r>
        <w:rPr>
          <w:bCs/>
        </w:rPr>
        <w:t xml:space="preserve">În cazul unui prejudiciu, liderul de parteneriat răspunde solidar cu partenerul din vina căruia a fost cauzat prejudiciul. </w:t>
      </w:r>
      <w:r>
        <w:t xml:space="preserve">În cazulr ezilierii/revocării contractului/ ordinului de finanțare, liderul de parteneriat și partenerii răspund în solidar pentru re Liderului de parteneriat este responsabil pentru neregulile identificate încadrul proiectului aferente cheltuielilor proprii conform notificărilor și titlurilor de creanță emise pe numele său de către Autoritatea de management </w:t>
      </w:r>
    </w:p>
    <w:p>
      <w:pPr>
        <w:jc w:val="both"/>
      </w:pPr>
      <w:r>
        <w:t>.Drepturile şi obligaţiile Partenerilor 2, 3, n</w:t>
      </w:r>
    </w:p>
    <w:p>
      <w:pPr>
        <w:jc w:val="both"/>
      </w:pPr>
      <w:r>
        <w:t>Drepturile şi obligaţiile partenerilor</w:t>
      </w:r>
    </w:p>
    <w:p>
      <w:pPr>
        <w:jc w:val="both"/>
      </w:pPr>
      <w:r>
        <w:t>Drepturile Partenerilor 2, 3, n</w:t>
      </w:r>
    </w:p>
    <w:p>
      <w:pPr>
        <w:jc w:val="both"/>
        <w:rPr>
          <w:bCs/>
        </w:rPr>
      </w:pPr>
      <w:r>
        <w:rPr>
          <w:bCs/>
        </w:rPr>
        <w:t>Cheltuielile angajate de Partenerii 2, 3, n, sunt eligibile în acelaşi fel ca şicheltuielile angajate de către liderul de parteneriat corespunzător activității/activităților proprii din proiect. Partenerii au dreptul, prin transfer de către AM, la fondurile obţinute din procesul de rambursare/plată pentru cheltuielile angajate de către aceştia, care au fost certificate ca eligibile.</w:t>
      </w:r>
    </w:p>
    <w:p>
      <w:pPr>
        <w:jc w:val="both"/>
        <w:rPr>
          <w:bCs/>
        </w:rPr>
      </w:pPr>
      <w:r>
        <w:rPr>
          <w:bCs/>
        </w:rPr>
        <w:t>Partenerii au dreptul să fie consultaţi cu regularitate de către liderul de parteneriat, să fie informaţi despre progresul în implementarea proiectului şi să li se furnizeze, de către liderul de parteneriat copii ale rapoartelor de progres şi financiare.</w:t>
      </w:r>
    </w:p>
    <w:p>
      <w:pPr>
        <w:jc w:val="both"/>
        <w:rPr>
          <w:bCs/>
        </w:rPr>
      </w:pPr>
      <w:r>
        <w:rPr>
          <w:bCs/>
        </w:rPr>
        <w:lastRenderedPageBreak/>
        <w:t>Partenerii au dreptul să fie consultaţi, de către liderul de parteneriat, în privinţa propunerilor pentru modificări importante ale proiectului (e.g. activităţi, parteneri etc.), înainte asolicitării aprobării de către AM / OI POR.</w:t>
      </w:r>
    </w:p>
    <w:p>
      <w:pPr>
        <w:jc w:val="both"/>
      </w:pPr>
      <w:r>
        <w:t>Constituirea sumelor acordate pentru proiect.</w:t>
      </w:r>
    </w:p>
    <w:p>
      <w:pPr>
        <w:jc w:val="both"/>
      </w:pPr>
      <w:r>
        <w:t>Liderului de parteneriat este responsabil pentru neregulile identificate încadrul proiectului aferente cheltuielilor proprii conform notificărilor și titlurilor de creanță emise pe numele său de către Autoritatea de management .Drepturile şi obligaţiile Partenerilor 2, 3, n</w:t>
      </w:r>
    </w:p>
    <w:p>
      <w:pPr>
        <w:jc w:val="both"/>
      </w:pPr>
      <w:r>
        <w:t>Drepturile şi obligaţiile partenerilor</w:t>
      </w:r>
    </w:p>
    <w:p>
      <w:pPr>
        <w:jc w:val="both"/>
      </w:pPr>
      <w:r>
        <w:t>Drepturile Partenerilor 2, 3, n</w:t>
      </w:r>
    </w:p>
    <w:p>
      <w:pPr>
        <w:jc w:val="both"/>
        <w:rPr>
          <w:bCs/>
        </w:rPr>
      </w:pPr>
      <w:r>
        <w:rPr>
          <w:bCs/>
        </w:rPr>
        <w:t>Cheltuielile angajate de Partenerii 2, 3, n, sunt eligibile în acelaşi fel ca şicheltuielile angajate de către liderul de parteneriat corespunzător activității/activităților proprii din proiect. Partenerii au dreptul, prin transfer de către AM, la fondurile obţinute din procesul de rambursare/plată pentru cheltuielile angajate de către aceştia, care au fost certificate ca eligibile.</w:t>
      </w:r>
    </w:p>
    <w:p>
      <w:pPr>
        <w:jc w:val="both"/>
        <w:rPr>
          <w:bCs/>
        </w:rPr>
      </w:pPr>
      <w:r>
        <w:rPr>
          <w:bCs/>
        </w:rPr>
        <w:t>Partenerii au dreptul să fie consultaţi cu regularitate de către liderul de parteneriat, să fie informaţi despre progresul în implementarea proiectului şi să li se furnizeze, de către liderul de parteneriat copii ale rapoartelor de progres şi financiare.</w:t>
      </w:r>
    </w:p>
    <w:p>
      <w:pPr>
        <w:jc w:val="both"/>
        <w:rPr>
          <w:bCs/>
        </w:rPr>
      </w:pPr>
      <w:r>
        <w:rPr>
          <w:bCs/>
        </w:rPr>
        <w:t>Partenerii au dreptul să fie consultaţi, de către liderul de parteneriat, în privinţa propunerilor pentru modificări importante ale proiectului (e.g. activităţi, parteneri etc.), înainte asolicitării aprobării de către AM / OI POR.</w:t>
      </w:r>
    </w:p>
    <w:p>
      <w:pPr>
        <w:jc w:val="both"/>
      </w:pPr>
    </w:p>
    <w:p>
      <w:pPr>
        <w:jc w:val="both"/>
        <w:rPr>
          <w:bCs/>
        </w:rPr>
      </w:pPr>
      <w:r>
        <w:rPr>
          <w:bCs/>
        </w:rPr>
        <w:t>ObligaţiilePartenerilor 2, 3, n</w:t>
      </w:r>
    </w:p>
    <w:p>
      <w:pPr>
        <w:pStyle w:val="ListParagraph"/>
        <w:numPr>
          <w:ilvl w:val="0"/>
          <w:numId w:val="52"/>
        </w:numPr>
        <w:jc w:val="both"/>
        <w:rPr>
          <w:bCs/>
          <w:sz w:val="22"/>
          <w:szCs w:val="22"/>
        </w:rPr>
      </w:pPr>
      <w:r>
        <w:rPr>
          <w:bCs/>
          <w:sz w:val="22"/>
          <w:szCs w:val="22"/>
        </w:rPr>
        <w:t>Partenerii au obligaţia de a respecta prevederile legislaţiei naţionale și comunitare în vigoare îndomeniul achiziţiilor publice,ajutorului de stat, egalității de şanse, dezvoltării durabile, informării şi publicității înimplementarea activităților proprii.</w:t>
      </w:r>
    </w:p>
    <w:p>
      <w:pPr>
        <w:pStyle w:val="ListParagraph"/>
        <w:numPr>
          <w:ilvl w:val="0"/>
          <w:numId w:val="52"/>
        </w:numPr>
        <w:jc w:val="both"/>
        <w:rPr>
          <w:bCs/>
          <w:sz w:val="22"/>
          <w:szCs w:val="22"/>
        </w:rPr>
      </w:pPr>
      <w:r>
        <w:rPr>
          <w:bCs/>
          <w:sz w:val="22"/>
          <w:szCs w:val="22"/>
        </w:rPr>
        <w:t>Partenerii sunt obligaţi să pună la dispoziţia liderului de parteneriat documentaţiile de atribuire elaborate în cadrul procedurii de atribuire a contractelor de achiziţie publică, spre verificare.</w:t>
      </w:r>
    </w:p>
    <w:p>
      <w:pPr>
        <w:pStyle w:val="ListParagraph"/>
        <w:numPr>
          <w:ilvl w:val="0"/>
          <w:numId w:val="52"/>
        </w:numPr>
        <w:jc w:val="both"/>
        <w:rPr>
          <w:bCs/>
          <w:sz w:val="22"/>
          <w:szCs w:val="22"/>
        </w:rPr>
      </w:pPr>
      <w:r>
        <w:rPr>
          <w:bCs/>
          <w:sz w:val="22"/>
          <w:szCs w:val="22"/>
        </w:rPr>
        <w:t>Partenerii sunt obligaţi să transmităc opii conforme cu originalul după documentaţiile complete de atribuire elaborate încadrul procedurii de atribuire a contractelor de achiziţiepublică, în scopul elaborării cererilor de rambursare.</w:t>
      </w:r>
    </w:p>
    <w:p>
      <w:pPr>
        <w:pStyle w:val="ListParagraph"/>
        <w:numPr>
          <w:ilvl w:val="0"/>
          <w:numId w:val="52"/>
        </w:numPr>
        <w:jc w:val="both"/>
        <w:rPr>
          <w:bCs/>
          <w:sz w:val="22"/>
          <w:szCs w:val="22"/>
        </w:rPr>
      </w:pPr>
      <w:r>
        <w:rPr>
          <w:bCs/>
          <w:sz w:val="22"/>
          <w:szCs w:val="22"/>
        </w:rPr>
        <w:lastRenderedPageBreak/>
        <w:t>Partenerii sunt obligaţi să transmită copii conforme cu originalul după documentele justificative, în scopul elaborării cererilor de rambursare/plată</w:t>
      </w:r>
    </w:p>
    <w:p>
      <w:pPr>
        <w:pStyle w:val="ListParagraph"/>
        <w:numPr>
          <w:ilvl w:val="0"/>
          <w:numId w:val="52"/>
        </w:numPr>
        <w:jc w:val="both"/>
        <w:rPr>
          <w:bCs/>
          <w:sz w:val="22"/>
          <w:szCs w:val="22"/>
        </w:rPr>
      </w:pPr>
      <w:r>
        <w:rPr>
          <w:bCs/>
          <w:sz w:val="22"/>
          <w:szCs w:val="22"/>
        </w:rPr>
        <w:t>Partenerii sunt obligaţi să pună la dispoziția AM/OI, sau oricărui alt organism național sau european,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pPr>
        <w:pStyle w:val="ListParagraph"/>
        <w:numPr>
          <w:ilvl w:val="0"/>
          <w:numId w:val="52"/>
        </w:numPr>
        <w:jc w:val="both"/>
        <w:rPr>
          <w:bCs/>
          <w:sz w:val="22"/>
          <w:szCs w:val="22"/>
        </w:rPr>
      </w:pPr>
      <w:r>
        <w:rPr>
          <w:bCs/>
          <w:sz w:val="22"/>
          <w:szCs w:val="22"/>
        </w:rPr>
        <w:t>În vederea  efectuării verificărilor prevăzute la alin. anterior, Partenerii au obligațiă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pPr>
        <w:pStyle w:val="ListParagraph"/>
        <w:numPr>
          <w:ilvl w:val="0"/>
          <w:numId w:val="52"/>
        </w:numPr>
        <w:jc w:val="both"/>
        <w:rPr>
          <w:bCs/>
          <w:sz w:val="22"/>
          <w:szCs w:val="22"/>
        </w:rPr>
      </w:pPr>
      <w:r>
        <w:rPr>
          <w:bCs/>
          <w:sz w:val="22"/>
          <w:szCs w:val="22"/>
        </w:rPr>
        <w:t>Partenerii sunt obligaţi să furnizeze liderului de parteneriat orice informaţii sau documente privind implementarea proiectului, în scopul elaborării rapoartelor de progres.</w:t>
      </w:r>
    </w:p>
    <w:p>
      <w:pPr>
        <w:pStyle w:val="ListParagraph"/>
        <w:numPr>
          <w:ilvl w:val="0"/>
          <w:numId w:val="52"/>
        </w:numPr>
        <w:jc w:val="both"/>
        <w:rPr>
          <w:bCs/>
          <w:sz w:val="22"/>
          <w:szCs w:val="22"/>
        </w:rPr>
      </w:pPr>
      <w:r>
        <w:rPr>
          <w:rFonts w:hAnsi="Arial"/>
          <w:bCs/>
          <w:sz w:val="22"/>
          <w:szCs w:val="22"/>
        </w:rPr>
        <w:t>Ȋ</w:t>
      </w:r>
      <w:r>
        <w:rPr>
          <w:bCs/>
          <w:sz w:val="22"/>
          <w:szCs w:val="22"/>
        </w:rPr>
        <w:t xml:space="preserve">n cazul în care autorităţile cu competenţe în gestionarea fondurilo reuropene constată neîndeplinirea sau îndeplinirea parţială a indicatorilor de rezultat/obiectivelor proiectului, în conformitate cu prevederile art. 6 din OUG nr. 66/2011, în funcţie de gradul de realizare a indicatorilor de rezultat/obiectivelor aferenți activităților proprii, partenerii răspund proporțional sau în solidar pentru reducerile aplicate din sumele solicitate la rambursare/plată.  </w:t>
      </w:r>
    </w:p>
    <w:p>
      <w:pPr>
        <w:pStyle w:val="ListParagraph"/>
        <w:numPr>
          <w:ilvl w:val="0"/>
          <w:numId w:val="52"/>
        </w:numPr>
        <w:jc w:val="both"/>
        <w:rPr>
          <w:bCs/>
          <w:sz w:val="22"/>
          <w:szCs w:val="22"/>
        </w:rPr>
      </w:pPr>
      <w:r>
        <w:rPr>
          <w:bCs/>
          <w:sz w:val="22"/>
          <w:szCs w:val="22"/>
        </w:rPr>
        <w:t>Partenerii au obligaţia de a restitui AM/OI, orice sumă ce constituie plată nedatorată/sumene cuvenite plătite în cadrul prezentului contract de finanţare, întermen de 5 zile lucrătoare de la data primirii notificării.</w:t>
      </w:r>
    </w:p>
    <w:p>
      <w:pPr>
        <w:pStyle w:val="ListParagraph"/>
        <w:numPr>
          <w:ilvl w:val="0"/>
          <w:numId w:val="52"/>
        </w:numPr>
        <w:jc w:val="both"/>
        <w:rPr>
          <w:bCs/>
          <w:sz w:val="22"/>
          <w:szCs w:val="22"/>
        </w:rPr>
      </w:pPr>
      <w:r>
        <w:rPr>
          <w:bCs/>
          <w:sz w:val="22"/>
          <w:szCs w:val="22"/>
        </w:rPr>
        <w:t>Partenerii sunt obligați să țină o evidență contabilă distinctă a Proiectului, utilizând conturi analitice dedicate pentru reflectarea tuturor operațiunilor referitoare la implementarea Proiectului, în conformitate cu dispozițiile legale.</w:t>
      </w:r>
    </w:p>
    <w:p>
      <w:pPr>
        <w:pStyle w:val="ListParagraph"/>
        <w:numPr>
          <w:ilvl w:val="0"/>
          <w:numId w:val="52"/>
        </w:numPr>
        <w:jc w:val="both"/>
        <w:rPr>
          <w:bCs/>
          <w:sz w:val="22"/>
          <w:szCs w:val="22"/>
        </w:rPr>
      </w:pPr>
      <w:r>
        <w:rPr>
          <w:bCs/>
          <w:sz w:val="22"/>
          <w:szCs w:val="22"/>
        </w:rPr>
        <w:t>Partenerii sunt obligați săpună la dispoziția auditorului financiar independent si autorizat încondițiile legii toate documentele si/saui nformațiile solicitate si să asigure toate condițiile pentru verificarea cheltuielilor de către acesta.</w:t>
      </w:r>
    </w:p>
    <w:p>
      <w:pPr>
        <w:pStyle w:val="ListParagraph"/>
        <w:numPr>
          <w:ilvl w:val="0"/>
          <w:numId w:val="52"/>
        </w:numPr>
        <w:jc w:val="both"/>
        <w:rPr>
          <w:bCs/>
          <w:sz w:val="22"/>
          <w:szCs w:val="22"/>
        </w:rPr>
      </w:pPr>
      <w:r>
        <w:rPr>
          <w:bCs/>
          <w:sz w:val="22"/>
          <w:szCs w:val="22"/>
        </w:rPr>
        <w:t>Să păstreze toate documentele originale, inclusiv documentele contabile, privind activitățile și cheltuielile eligibile în vederea asigurării unei piste de audit adecvate, în conformitate cu regulamentele comunitare și naționale. Toate documentele vor fi păstrate celpuțin 5 (cinci) ani după expirarea perioadei de valabilitate a contractului de finanțare.</w:t>
      </w:r>
    </w:p>
    <w:p>
      <w:pPr>
        <w:jc w:val="both"/>
        <w:rPr>
          <w:bCs/>
        </w:rPr>
      </w:pPr>
      <w:r>
        <w:rPr>
          <w:bCs/>
        </w:rPr>
        <w:t>În cazul unui prejudiciu, partenerul din vina căruia a fost cauzat prejudiciul răspunde solidar cu liderul de proiect.</w:t>
      </w:r>
    </w:p>
    <w:p>
      <w:pPr>
        <w:jc w:val="both"/>
        <w:rPr>
          <w:bCs/>
        </w:rPr>
      </w:pPr>
      <w:r>
        <w:rPr>
          <w:bCs/>
        </w:rPr>
        <w:lastRenderedPageBreak/>
        <w:t>Pentru neregulile identificate în cadrul proiectului, notificările și titlurile de creanță se emit pe numele liderului de parteneriat/partenerului care aefectuat cheltuielile afectate de nereguli, conform legislației învigoare.</w:t>
      </w:r>
    </w:p>
    <w:p>
      <w:pPr>
        <w:jc w:val="both"/>
        <w:rPr>
          <w:bCs/>
        </w:rPr>
      </w:pPr>
      <w:r>
        <w:rPr>
          <w:bCs/>
        </w:rPr>
        <w:t>Partenerii pe numele cărora a fost emis titlul de creanță au obligația restituirii sumelor cuprinse în acestea și asigurarea din resurse proprii a contravalorii acestora.</w:t>
      </w:r>
    </w:p>
    <w:p>
      <w:pPr>
        <w:jc w:val="both"/>
        <w:rPr>
          <w:bCs/>
        </w:rPr>
      </w:pPr>
      <w:r>
        <w:rPr>
          <w:bCs/>
        </w:rPr>
        <w:t>În cazul rezilierii/revocării contractului/ordinului de finanțare, liderul de parteneriat și partenerii răspund în solidar pentru restituirea sumelor acordate pentru proiect.</w:t>
      </w:r>
    </w:p>
    <w:p>
      <w:pPr>
        <w:jc w:val="both"/>
        <w:rPr>
          <w:bCs/>
        </w:rPr>
      </w:pPr>
      <w:r>
        <w:rPr>
          <w:bCs/>
        </w:rPr>
        <w:t>Partenerul este ținut de respectarea de către liderul de parteneriat a termenului de restituire menționat în decizia de reziliere a sumelor solicitate de AM</w:t>
      </w:r>
    </w:p>
    <w:p>
      <w:pPr>
        <w:jc w:val="both"/>
        <w:rPr>
          <w:bCs/>
        </w:rPr>
      </w:pPr>
      <w:r>
        <w:rPr>
          <w:bCs/>
        </w:rPr>
        <w:t>Art. 8.Achiziții  publice</w:t>
      </w:r>
    </w:p>
    <w:p>
      <w:pPr>
        <w:jc w:val="both"/>
      </w:pPr>
      <w:r>
        <w:t xml:space="preserve">(1) </w:t>
      </w:r>
      <w:r>
        <w:tab/>
        <w:t>Achiziţiile în cadrul proiectului vor fi făcute membrii parteneriatului, cu respectarea legislației în vigoare, a condiţiilor din contractul de finanţare şi a instrucţiunilor emise de AM/OI și/sau alte organisme abilitate.</w:t>
      </w:r>
    </w:p>
    <w:p>
      <w:pPr>
        <w:jc w:val="both"/>
      </w:pPr>
      <w:r>
        <w:t>Art. 9. Proprietatea</w:t>
      </w:r>
    </w:p>
    <w:p>
      <w:pPr>
        <w:jc w:val="both"/>
        <w:rPr>
          <w:bCs/>
        </w:rPr>
      </w:pPr>
      <w:r>
        <w:rPr>
          <w:bCs/>
        </w:rPr>
        <w:t>Părţile au obligaţia să menţină proprietatea imobilului construit/modernizat/reabilitat/extins, a bunurilor achiziționate/modernizate, inclusiv a mijloacelor de transport încomun,  şi natura activităţii pentru care s-a acordat finanţare, pe o perioadă de cel puţin 5 ani de la data efectuării plăţii finale/ de dare în exploatare şi săasigure exploatarea şi întreţinerea în această perioadă.</w:t>
      </w:r>
    </w:p>
    <w:p>
      <w:pPr>
        <w:jc w:val="both"/>
      </w:pPr>
      <w:r>
        <w:rPr>
          <w:bCs/>
        </w:rPr>
        <w:t>Înainte de sfârşitul proiectului, părţile/partenerii vor conveni asupra modului de acordare a dreptului de utilizare a echipamentelor, bunurilor,a mijloacelor de transport în comun etc. ce au facut obiectule proiectului. Copii ale titlurilor de transfer vor fi ataşate raportului final Părţile au obligaţia de a asigura funcţionarea tuturor bunurilor, echipamentelor a mijloacelor de transport în comun, ce au facut obiectul finanţărilor nerambursabile, la locul de desfăşurare a proiectului şi exclusiv îns copul pentru care au fost achiziţionate.Părţile au obligaţia să folosească conform scopului destinat ș isă nu vândă sau să înstrăineze, sub orice formă obiectele / bunurile, fie ele mobile sau imobile finanțate prin POR 2014-2020, pe o perioadă de 5 ani de la de la efectuarea plăţii finale. De asemenea, părțile au obligația respectării prevederilor contractului de finanțare cu privire la ipotecarea bunurilor în scopul realizării proiectului.</w:t>
      </w:r>
    </w:p>
    <w:p>
      <w:pPr>
        <w:jc w:val="both"/>
        <w:rPr>
          <w:b/>
        </w:rPr>
      </w:pPr>
      <w:r>
        <w:rPr>
          <w:b/>
        </w:rPr>
        <w:t>Art. 10. Confidențialitate</w:t>
      </w:r>
    </w:p>
    <w:p>
      <w:pPr>
        <w:jc w:val="both"/>
      </w:pPr>
      <w:r>
        <w:t>(1)</w:t>
      </w:r>
      <w:r>
        <w:tab/>
        <w:t xml:space="preserve">Părţile semnatare ale prezentului acord convin să păstreze în strictă confidenţialitate informaţiile primite în cadrul şi pe parcursul implementării proiectului şi sunt de acord să prevină </w:t>
      </w:r>
      <w:r>
        <w:lastRenderedPageBreak/>
        <w:t>orice utilizare sau divulgare neautorizată a unor astfel de informaţii. Părțile înțeleg să utilizeze informaţiile confidenţiale doar în scopul de a-şi îndeplini obligaţiile din prezentul Acord de Parteneriat.</w:t>
      </w:r>
    </w:p>
    <w:p>
      <w:pPr>
        <w:jc w:val="both"/>
        <w:rPr>
          <w:b/>
          <w:bCs/>
        </w:rPr>
      </w:pPr>
      <w:r>
        <w:rPr>
          <w:b/>
          <w:bCs/>
        </w:rPr>
        <w:t>Art. 11 Legea aplicabilă</w:t>
      </w:r>
    </w:p>
    <w:p>
      <w:pPr>
        <w:jc w:val="both"/>
      </w:pPr>
      <w:r>
        <w:t>Prezentului Acord i se vaaplica şi va fi interpretat în conformitate cu legea română.</w:t>
      </w:r>
    </w:p>
    <w:p>
      <w:pPr>
        <w:jc w:val="both"/>
      </w:pPr>
      <w:r>
        <w:t xml:space="preserve">Pe durata prezentului Acord, părţile vor avea dreptul să convină în scris asupra modificării anumitor clauze, prin act adiţional.Orice modificare a prezentului acord va fi valabilă numai atunci când este convenită de toate părţile. </w:t>
      </w:r>
    </w:p>
    <w:p>
      <w:pPr>
        <w:jc w:val="both"/>
        <w:rPr>
          <w:b/>
          <w:bCs/>
        </w:rPr>
      </w:pPr>
    </w:p>
    <w:p>
      <w:pPr>
        <w:jc w:val="both"/>
        <w:rPr>
          <w:b/>
          <w:bCs/>
        </w:rPr>
      </w:pPr>
      <w:r>
        <w:rPr>
          <w:b/>
          <w:bCs/>
        </w:rPr>
        <w:t>Art. 12 Dispoziţii finale</w:t>
      </w:r>
    </w:p>
    <w:p>
      <w:pPr>
        <w:jc w:val="both"/>
      </w:pPr>
      <w:r>
        <w:t>Toate posibilele dispute rezultate din prezentul acord sau în legătură cu el, pe care părţile nu le pot soluţiona pe cale amiabilă, vor fi soluţionate de instanţele competente.</w:t>
      </w:r>
    </w:p>
    <w:p>
      <w:pPr>
        <w:jc w:val="both"/>
      </w:pPr>
    </w:p>
    <w:p>
      <w:pPr>
        <w:jc w:val="both"/>
      </w:pPr>
      <w:r>
        <w:t>Întocmit în</w:t>
      </w:r>
      <w:r>
        <w:rPr>
          <w:i/>
          <w:iCs/>
          <w:shd w:val="clear" w:color="auto" w:fill="E0E0E0"/>
          <w:lang w:eastAsia="sk-SK"/>
        </w:rPr>
        <w:t xml:space="preserve">număr de exemplare       </w:t>
      </w:r>
      <w:r>
        <w:t>exemplare, în limba română, câte unul pentru fiecare parte şi un original pentru cererea de finanţare.</w:t>
      </w:r>
    </w:p>
    <w:p>
      <w:pPr>
        <w:jc w:val="both"/>
      </w:pPr>
      <w:r>
        <w:t>Semnături</w:t>
      </w:r>
    </w:p>
    <w:tbl>
      <w:tblPr>
        <w:tblW w:w="0" w:type="auto"/>
        <w:tblBorders>
          <w:insideH w:val="single" w:sz="4" w:space="0" w:color="808080"/>
        </w:tblBorders>
        <w:tblLook w:val="04A0" w:firstRow="1" w:lastRow="0" w:firstColumn="1" w:lastColumn="0" w:noHBand="0" w:noVBand="1"/>
      </w:tblPr>
      <w:tblGrid>
        <w:gridCol w:w="1686"/>
        <w:gridCol w:w="4636"/>
        <w:gridCol w:w="1419"/>
        <w:gridCol w:w="1501"/>
      </w:tblGrid>
      <w:tr>
        <w:tc>
          <w:tcPr>
            <w:tcW w:w="1728" w:type="dxa"/>
            <w:tcBorders>
              <w:top w:val="single" w:sz="4" w:space="0" w:color="808080"/>
              <w:left w:val="nil"/>
              <w:bottom w:val="single" w:sz="4" w:space="0" w:color="808080"/>
              <w:right w:val="nil"/>
            </w:tcBorders>
            <w:hideMark/>
          </w:tcPr>
          <w:p>
            <w:pPr>
              <w:jc w:val="both"/>
            </w:pPr>
            <w:r>
              <w:t>Lider de parteneriat (Partener 1)</w:t>
            </w:r>
          </w:p>
        </w:tc>
        <w:tc>
          <w:tcPr>
            <w:tcW w:w="4860" w:type="dxa"/>
            <w:tcBorders>
              <w:top w:val="single" w:sz="4" w:space="0" w:color="808080"/>
              <w:left w:val="nil"/>
              <w:bottom w:val="single" w:sz="4" w:space="0" w:color="808080"/>
              <w:right w:val="nil"/>
            </w:tcBorders>
            <w:hideMark/>
          </w:tcPr>
          <w:p>
            <w:pPr>
              <w:jc w:val="both"/>
            </w:pPr>
            <w: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pPr>
              <w:jc w:val="both"/>
            </w:pPr>
            <w:r>
              <w:t>Semnătura</w:t>
            </w:r>
          </w:p>
        </w:tc>
        <w:tc>
          <w:tcPr>
            <w:tcW w:w="1548" w:type="dxa"/>
            <w:tcBorders>
              <w:top w:val="single" w:sz="4" w:space="0" w:color="808080"/>
              <w:left w:val="nil"/>
              <w:bottom w:val="single" w:sz="4" w:space="0" w:color="808080"/>
              <w:right w:val="nil"/>
            </w:tcBorders>
            <w:hideMark/>
          </w:tcPr>
          <w:p>
            <w:pPr>
              <w:jc w:val="both"/>
            </w:pPr>
            <w:r>
              <w:t>Data şi locul semnării</w:t>
            </w:r>
          </w:p>
        </w:tc>
      </w:tr>
      <w:tr>
        <w:tc>
          <w:tcPr>
            <w:tcW w:w="1728" w:type="dxa"/>
            <w:tcBorders>
              <w:top w:val="single" w:sz="4" w:space="0" w:color="808080"/>
              <w:left w:val="nil"/>
              <w:bottom w:val="single" w:sz="4" w:space="0" w:color="808080"/>
              <w:right w:val="nil"/>
            </w:tcBorders>
            <w:hideMark/>
          </w:tcPr>
          <w:p>
            <w:pPr>
              <w:jc w:val="both"/>
            </w:pPr>
            <w:r>
              <w:t>Partener 2</w:t>
            </w:r>
          </w:p>
        </w:tc>
        <w:tc>
          <w:tcPr>
            <w:tcW w:w="4860" w:type="dxa"/>
            <w:tcBorders>
              <w:top w:val="single" w:sz="4" w:space="0" w:color="808080"/>
              <w:left w:val="nil"/>
              <w:bottom w:val="single" w:sz="4" w:space="0" w:color="808080"/>
              <w:right w:val="nil"/>
            </w:tcBorders>
            <w:hideMark/>
          </w:tcPr>
          <w:p>
            <w:pPr>
              <w:jc w:val="both"/>
            </w:pPr>
            <w: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pPr>
              <w:jc w:val="both"/>
            </w:pPr>
            <w:r>
              <w:t>Semnătura</w:t>
            </w:r>
          </w:p>
        </w:tc>
        <w:tc>
          <w:tcPr>
            <w:tcW w:w="1548" w:type="dxa"/>
            <w:tcBorders>
              <w:top w:val="single" w:sz="4" w:space="0" w:color="808080"/>
              <w:left w:val="nil"/>
              <w:bottom w:val="single" w:sz="4" w:space="0" w:color="808080"/>
              <w:right w:val="nil"/>
            </w:tcBorders>
            <w:hideMark/>
          </w:tcPr>
          <w:p>
            <w:pPr>
              <w:jc w:val="both"/>
            </w:pPr>
            <w:r>
              <w:t>Data şi locul semnării</w:t>
            </w:r>
          </w:p>
        </w:tc>
      </w:tr>
      <w:tr>
        <w:tc>
          <w:tcPr>
            <w:tcW w:w="1728" w:type="dxa"/>
            <w:tcBorders>
              <w:top w:val="single" w:sz="4" w:space="0" w:color="808080"/>
              <w:left w:val="nil"/>
              <w:bottom w:val="single" w:sz="4" w:space="0" w:color="808080"/>
              <w:right w:val="nil"/>
            </w:tcBorders>
            <w:hideMark/>
          </w:tcPr>
          <w:p>
            <w:pPr>
              <w:jc w:val="both"/>
            </w:pPr>
            <w:r>
              <w:t>Partenern</w:t>
            </w:r>
          </w:p>
        </w:tc>
        <w:tc>
          <w:tcPr>
            <w:tcW w:w="4860" w:type="dxa"/>
            <w:tcBorders>
              <w:top w:val="single" w:sz="4" w:space="0" w:color="808080"/>
              <w:left w:val="nil"/>
              <w:bottom w:val="single" w:sz="4" w:space="0" w:color="808080"/>
              <w:right w:val="nil"/>
            </w:tcBorders>
            <w:hideMark/>
          </w:tcPr>
          <w:p>
            <w:pPr>
              <w:jc w:val="both"/>
            </w:pPr>
            <w: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pPr>
              <w:jc w:val="both"/>
            </w:pPr>
            <w:r>
              <w:t>Semnătura</w:t>
            </w:r>
          </w:p>
        </w:tc>
        <w:tc>
          <w:tcPr>
            <w:tcW w:w="1548" w:type="dxa"/>
            <w:tcBorders>
              <w:top w:val="single" w:sz="4" w:space="0" w:color="808080"/>
              <w:left w:val="nil"/>
              <w:bottom w:val="single" w:sz="4" w:space="0" w:color="808080"/>
              <w:right w:val="nil"/>
            </w:tcBorders>
            <w:hideMark/>
          </w:tcPr>
          <w:p>
            <w:pPr>
              <w:jc w:val="both"/>
            </w:pPr>
            <w:r>
              <w:t>Data şi locul semnării</w:t>
            </w:r>
          </w:p>
        </w:tc>
      </w:tr>
    </w:tbl>
    <w:p>
      <w:pPr>
        <w:jc w:val="both"/>
        <w:rPr>
          <w:lang w:val="ro-RO"/>
        </w:rPr>
      </w:pPr>
    </w:p>
    <w:p>
      <w:pPr>
        <w:jc w:val="both"/>
        <w:rPr>
          <w:sz w:val="20"/>
          <w:szCs w:val="20"/>
        </w:rPr>
      </w:pPr>
    </w:p>
    <w:p>
      <w:pPr>
        <w:rPr>
          <w:rFonts w:ascii="Trebuchet MS" w:eastAsia="Times New Roman" w:hAnsi="Trebuchet MS" w:cs="Arial"/>
          <w:i/>
          <w:iCs/>
          <w:sz w:val="20"/>
          <w:szCs w:val="20"/>
          <w:lang w:val="ro-RO" w:eastAsia="sk-SK"/>
        </w:rPr>
      </w:pPr>
      <w:r>
        <w:rPr>
          <w:rFonts w:ascii="Trebuchet MS" w:hAnsi="Trebuchet MS"/>
          <w:sz w:val="20"/>
          <w:szCs w:val="20"/>
        </w:rPr>
        <w:br w:type="page"/>
      </w:r>
    </w:p>
    <w:p>
      <w:pPr>
        <w:pStyle w:val="instruct"/>
        <w:jc w:val="both"/>
        <w:rPr>
          <w:sz w:val="22"/>
          <w:szCs w:val="22"/>
        </w:rPr>
      </w:pPr>
    </w:p>
    <w:tbl>
      <w:tblPr>
        <w:tblW w:w="1051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0571"/>
      </w:tblGrid>
      <w:tr>
        <w:trPr>
          <w:trHeight w:val="721"/>
          <w:jc w:val="center"/>
        </w:trPr>
        <w:tc>
          <w:tcPr>
            <w:tcW w:w="10518" w:type="dxa"/>
            <w:tcBorders>
              <w:top w:val="nil"/>
              <w:left w:val="nil"/>
              <w:bottom w:val="nil"/>
              <w:right w:val="nil"/>
            </w:tcBorders>
          </w:tcPr>
          <w:p>
            <w:pPr>
              <w:rPr>
                <w:lang w:val="ro-RO"/>
              </w:rPr>
            </w:pPr>
            <w:bookmarkStart w:id="110" w:name="_Toc41298533"/>
            <w:r>
              <w:rPr>
                <w:sz w:val="24"/>
                <w:szCs w:val="28"/>
                <w:lang w:val="ro-RO"/>
              </w:rPr>
              <w:t>A</w:t>
            </w:r>
            <w:r>
              <w:rPr>
                <w:lang w:val="ro-RO"/>
              </w:rPr>
              <w:t>nexa 7 Declaraţie privind eligibilitatea TVA</w:t>
            </w:r>
            <w:bookmarkEnd w:id="110"/>
          </w:p>
          <w:p>
            <w:pPr>
              <w:rPr>
                <w:rStyle w:val="rvts6"/>
                <w:b/>
              </w:rPr>
            </w:pPr>
            <w:r>
              <w:rPr>
                <w:rStyle w:val="rvts6"/>
                <w:b/>
              </w:rPr>
              <w:t>Declaraţie privind eligibilitatea TVA aferente cheltuielilor efectuate în cadrul operaţiunii finanţate din FEDR, FSE şi FC 2014 - 2020, conform ORDIN Nr. 698/1425/2016 din 11 mai 2016 pentru aprobare Instrucţiunilor de aplicare a prevederilor art. 12 din Hotarârea Guvernului nr. 399/2015 privind regulile de eligibilitate a cheltuielilor efectuate în cadrul operaţiunilor finanţate prin Fondul european de dezvoltare regională, Fondul social european şiFondul de coeziune 2014 - 2020 - publicat in data de 28.09.2016</w:t>
            </w:r>
          </w:p>
          <w:p/>
        </w:tc>
      </w:tr>
      <w:tr>
        <w:trPr>
          <w:trHeight w:val="177"/>
          <w:jc w:val="center"/>
        </w:trPr>
        <w:tc>
          <w:tcPr>
            <w:tcW w:w="10518" w:type="dxa"/>
            <w:tcBorders>
              <w:top w:val="nil"/>
              <w:left w:val="nil"/>
              <w:bottom w:val="nil"/>
              <w:right w:val="nil"/>
            </w:tcBorders>
          </w:tcPr>
          <w:p/>
        </w:tc>
      </w:tr>
      <w:tr>
        <w:trPr>
          <w:trHeight w:val="166"/>
          <w:jc w:val="center"/>
        </w:trPr>
        <w:tc>
          <w:tcPr>
            <w:tcW w:w="10518" w:type="dxa"/>
            <w:tcBorders>
              <w:top w:val="nil"/>
              <w:left w:val="nil"/>
              <w:bottom w:val="single" w:sz="6" w:space="0" w:color="000000"/>
              <w:right w:val="nil"/>
            </w:tcBorders>
          </w:tcPr>
          <w:p>
            <w:pPr>
              <w:rPr>
                <w:lang w:val="it-IT"/>
              </w:rPr>
            </w:pPr>
            <w:r>
              <w:rPr>
                <w:rStyle w:val="rvts6"/>
                <w:rFonts w:ascii="Trebuchet MS" w:hAnsi="Trebuchet MS"/>
                <w:lang w:val="it-IT"/>
              </w:rPr>
              <w:t>    A.</w:t>
            </w:r>
            <w:r>
              <w:rPr>
                <w:rStyle w:val="rvts7"/>
                <w:rFonts w:ascii="Trebuchet MS" w:hAnsi="Trebuchet MS"/>
                <w:lang w:val="it-IT"/>
              </w:rPr>
              <w:t> </w:t>
            </w:r>
            <w:r>
              <w:rPr>
                <w:rStyle w:val="rvts6"/>
                <w:rFonts w:ascii="Trebuchet MS" w:hAnsi="Trebuchet MS"/>
                <w:lang w:val="it-IT"/>
              </w:rPr>
              <w:t>Datele de identificare a persoanei juridice</w:t>
            </w:r>
          </w:p>
        </w:tc>
      </w:tr>
      <w:tr>
        <w:trPr>
          <w:trHeight w:val="4070"/>
          <w:jc w:val="center"/>
        </w:trPr>
        <w:tc>
          <w:tcPr>
            <w:tcW w:w="10518" w:type="dxa"/>
            <w:tcBorders>
              <w:top w:val="single" w:sz="6" w:space="0" w:color="000000"/>
              <w:left w:val="single" w:sz="6" w:space="0" w:color="000000"/>
              <w:bottom w:val="single" w:sz="6" w:space="0" w:color="000000"/>
              <w:right w:val="single" w:sz="6" w:space="0" w:color="000000"/>
            </w:tcBorders>
          </w:tcPr>
          <w:p>
            <w:pPr>
              <w:rPr>
                <w:lang w:val="it-IT"/>
              </w:rPr>
            </w:pPr>
          </w:p>
          <w:tbl>
            <w:tblPr>
              <w:tblW w:w="8904"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6781"/>
              <w:gridCol w:w="182"/>
              <w:gridCol w:w="182"/>
              <w:gridCol w:w="182"/>
              <w:gridCol w:w="228"/>
              <w:gridCol w:w="228"/>
              <w:gridCol w:w="228"/>
              <w:gridCol w:w="228"/>
              <w:gridCol w:w="209"/>
              <w:gridCol w:w="228"/>
              <w:gridCol w:w="228"/>
            </w:tblGrid>
            <w:tr>
              <w:trPr>
                <w:trHeight w:val="166"/>
              </w:trPr>
              <w:tc>
                <w:tcPr>
                  <w:tcW w:w="6781" w:type="dxa"/>
                  <w:tcBorders>
                    <w:top w:val="nil"/>
                    <w:left w:val="nil"/>
                    <w:bottom w:val="nil"/>
                    <w:right w:val="single" w:sz="6" w:space="0" w:color="000000"/>
                  </w:tcBorders>
                </w:tcPr>
                <w:p>
                  <w:pPr>
                    <w:rPr>
                      <w:lang w:val="it-IT"/>
                    </w:rPr>
                  </w:pPr>
                  <w:r>
                    <w:rPr>
                      <w:rStyle w:val="rvts7"/>
                      <w:rFonts w:ascii="Trebuchet MS" w:hAnsi="Trebuchet MS"/>
                      <w:lang w:val="it-IT"/>
                    </w:rPr>
                    <w:t>Codul de identificare</w:t>
                  </w:r>
                </w:p>
              </w:tc>
              <w:tc>
                <w:tcPr>
                  <w:tcW w:w="182" w:type="dxa"/>
                  <w:tcBorders>
                    <w:top w:val="single" w:sz="6" w:space="0" w:color="000000"/>
                    <w:left w:val="single" w:sz="6" w:space="0" w:color="000000"/>
                    <w:bottom w:val="single" w:sz="6" w:space="0" w:color="000000"/>
                    <w:right w:val="single" w:sz="6" w:space="0" w:color="000000"/>
                  </w:tcBorders>
                </w:tcPr>
                <w:p>
                  <w:pPr>
                    <w:rPr>
                      <w:lang w:val="it-IT"/>
                    </w:rPr>
                  </w:pPr>
                </w:p>
              </w:tc>
              <w:tc>
                <w:tcPr>
                  <w:tcW w:w="182" w:type="dxa"/>
                  <w:tcBorders>
                    <w:top w:val="single" w:sz="6" w:space="0" w:color="000000"/>
                    <w:left w:val="single" w:sz="6" w:space="0" w:color="000000"/>
                    <w:bottom w:val="single" w:sz="6" w:space="0" w:color="000000"/>
                    <w:right w:val="single" w:sz="6" w:space="0" w:color="000000"/>
                  </w:tcBorders>
                </w:tcPr>
                <w:p>
                  <w:pPr>
                    <w:rPr>
                      <w:lang w:val="it-IT"/>
                    </w:rPr>
                  </w:pPr>
                </w:p>
              </w:tc>
              <w:tc>
                <w:tcPr>
                  <w:tcW w:w="182" w:type="dxa"/>
                  <w:tcBorders>
                    <w:top w:val="single" w:sz="6" w:space="0" w:color="000000"/>
                    <w:left w:val="single" w:sz="6" w:space="0" w:color="000000"/>
                    <w:bottom w:val="single" w:sz="6" w:space="0" w:color="000000"/>
                    <w:right w:val="single" w:sz="6" w:space="0" w:color="000000"/>
                  </w:tcBorders>
                </w:tcPr>
                <w:p>
                  <w:pPr>
                    <w:rPr>
                      <w:lang w:val="it-IT"/>
                    </w:rPr>
                  </w:pPr>
                </w:p>
              </w:tc>
              <w:tc>
                <w:tcPr>
                  <w:tcW w:w="228" w:type="dxa"/>
                  <w:tcBorders>
                    <w:top w:val="single" w:sz="6" w:space="0" w:color="000000"/>
                    <w:left w:val="single" w:sz="6" w:space="0" w:color="000000"/>
                    <w:bottom w:val="single" w:sz="6" w:space="0" w:color="000000"/>
                    <w:right w:val="single" w:sz="6" w:space="0" w:color="000000"/>
                  </w:tcBorders>
                </w:tcPr>
                <w:p>
                  <w:pPr>
                    <w:rPr>
                      <w:lang w:val="it-IT"/>
                    </w:rPr>
                  </w:pPr>
                </w:p>
              </w:tc>
              <w:tc>
                <w:tcPr>
                  <w:tcW w:w="228" w:type="dxa"/>
                  <w:tcBorders>
                    <w:top w:val="single" w:sz="6" w:space="0" w:color="000000"/>
                    <w:left w:val="single" w:sz="6" w:space="0" w:color="000000"/>
                    <w:bottom w:val="single" w:sz="6" w:space="0" w:color="000000"/>
                    <w:right w:val="single" w:sz="6" w:space="0" w:color="000000"/>
                  </w:tcBorders>
                </w:tcPr>
                <w:p>
                  <w:pPr>
                    <w:rPr>
                      <w:lang w:val="it-IT"/>
                    </w:rPr>
                  </w:pPr>
                </w:p>
              </w:tc>
              <w:tc>
                <w:tcPr>
                  <w:tcW w:w="228" w:type="dxa"/>
                  <w:tcBorders>
                    <w:top w:val="single" w:sz="6" w:space="0" w:color="000000"/>
                    <w:left w:val="single" w:sz="6" w:space="0" w:color="000000"/>
                    <w:bottom w:val="single" w:sz="6" w:space="0" w:color="000000"/>
                    <w:right w:val="single" w:sz="6" w:space="0" w:color="000000"/>
                  </w:tcBorders>
                </w:tcPr>
                <w:p>
                  <w:pPr>
                    <w:rPr>
                      <w:lang w:val="it-IT"/>
                    </w:rPr>
                  </w:pPr>
                </w:p>
              </w:tc>
              <w:tc>
                <w:tcPr>
                  <w:tcW w:w="228" w:type="dxa"/>
                  <w:tcBorders>
                    <w:top w:val="single" w:sz="6" w:space="0" w:color="000000"/>
                    <w:left w:val="single" w:sz="6" w:space="0" w:color="000000"/>
                    <w:bottom w:val="single" w:sz="6" w:space="0" w:color="000000"/>
                    <w:right w:val="single" w:sz="6" w:space="0" w:color="000000"/>
                  </w:tcBorders>
                </w:tcPr>
                <w:p>
                  <w:pPr>
                    <w:rPr>
                      <w:lang w:val="it-IT"/>
                    </w:rPr>
                  </w:pPr>
                </w:p>
              </w:tc>
              <w:tc>
                <w:tcPr>
                  <w:tcW w:w="209" w:type="dxa"/>
                  <w:tcBorders>
                    <w:top w:val="single" w:sz="6" w:space="0" w:color="000000"/>
                    <w:left w:val="single" w:sz="6" w:space="0" w:color="000000"/>
                    <w:bottom w:val="single" w:sz="6" w:space="0" w:color="000000"/>
                    <w:right w:val="single" w:sz="6" w:space="0" w:color="000000"/>
                  </w:tcBorders>
                </w:tcPr>
                <w:p>
                  <w:pPr>
                    <w:rPr>
                      <w:lang w:val="it-IT"/>
                    </w:rPr>
                  </w:pPr>
                </w:p>
              </w:tc>
              <w:tc>
                <w:tcPr>
                  <w:tcW w:w="228" w:type="dxa"/>
                  <w:tcBorders>
                    <w:top w:val="single" w:sz="6" w:space="0" w:color="000000"/>
                    <w:left w:val="single" w:sz="6" w:space="0" w:color="000000"/>
                    <w:bottom w:val="single" w:sz="6" w:space="0" w:color="000000"/>
                    <w:right w:val="single" w:sz="6" w:space="0" w:color="000000"/>
                  </w:tcBorders>
                </w:tcPr>
                <w:p>
                  <w:pPr>
                    <w:rPr>
                      <w:lang w:val="it-IT"/>
                    </w:rPr>
                  </w:pPr>
                </w:p>
              </w:tc>
              <w:tc>
                <w:tcPr>
                  <w:tcW w:w="228" w:type="dxa"/>
                  <w:tcBorders>
                    <w:top w:val="single" w:sz="6" w:space="0" w:color="000000"/>
                    <w:left w:val="single" w:sz="6" w:space="0" w:color="000000"/>
                    <w:bottom w:val="single" w:sz="6" w:space="0" w:color="000000"/>
                    <w:right w:val="single" w:sz="6" w:space="0" w:color="000000"/>
                  </w:tcBorders>
                </w:tcPr>
                <w:p>
                  <w:pPr>
                    <w:rPr>
                      <w:lang w:val="it-IT"/>
                    </w:rPr>
                  </w:pPr>
                </w:p>
              </w:tc>
            </w:tr>
          </w:tbl>
          <w:p>
            <w:pPr>
              <w:rPr>
                <w:lang w:val="it-IT"/>
              </w:rPr>
            </w:pPr>
            <w:r>
              <w:rPr>
                <w:rStyle w:val="rvts10"/>
                <w:rFonts w:ascii="Trebuchet MS" w:hAnsi="Trebuchet MS"/>
                <w:lang w:val="it-IT"/>
              </w:rPr>
              <w:t> </w:t>
            </w:r>
          </w:p>
          <w:tbl>
            <w:tblPr>
              <w:tblW w:w="10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134"/>
              <w:gridCol w:w="8414"/>
            </w:tblGrid>
            <w:tr>
              <w:trPr>
                <w:trHeight w:val="166"/>
              </w:trPr>
              <w:tc>
                <w:tcPr>
                  <w:tcW w:w="2134" w:type="dxa"/>
                  <w:tcBorders>
                    <w:top w:val="nil"/>
                    <w:left w:val="nil"/>
                    <w:bottom w:val="nil"/>
                    <w:right w:val="single" w:sz="6" w:space="0" w:color="000000"/>
                  </w:tcBorders>
                </w:tcPr>
                <w:p>
                  <w:pPr>
                    <w:rPr>
                      <w:lang w:val="it-IT"/>
                    </w:rPr>
                  </w:pPr>
                  <w:r>
                    <w:rPr>
                      <w:rStyle w:val="rvts7"/>
                      <w:rFonts w:ascii="Trebuchet MS" w:hAnsi="Trebuchet MS"/>
                      <w:lang w:val="it-IT"/>
                    </w:rPr>
                    <w:t>Denumirea</w:t>
                  </w:r>
                </w:p>
              </w:tc>
              <w:tc>
                <w:tcPr>
                  <w:tcW w:w="8414" w:type="dxa"/>
                  <w:tcBorders>
                    <w:top w:val="single" w:sz="6" w:space="0" w:color="000000"/>
                    <w:left w:val="single" w:sz="6" w:space="0" w:color="000000"/>
                    <w:bottom w:val="single" w:sz="6" w:space="0" w:color="000000"/>
                    <w:right w:val="single" w:sz="6" w:space="0" w:color="000000"/>
                  </w:tcBorders>
                </w:tcPr>
                <w:p>
                  <w:pPr>
                    <w:rPr>
                      <w:lang w:val="it-IT"/>
                    </w:rPr>
                  </w:pPr>
                </w:p>
              </w:tc>
            </w:tr>
          </w:tbl>
          <w:p>
            <w:pPr>
              <w:rPr>
                <w:lang w:val="it-IT"/>
              </w:rPr>
            </w:pPr>
          </w:p>
          <w:p>
            <w:pPr>
              <w:rPr>
                <w:lang w:val="it-IT"/>
              </w:rPr>
            </w:pPr>
            <w:r>
              <w:rPr>
                <w:rStyle w:val="rvts10"/>
                <w:rFonts w:ascii="Trebuchet MS" w:hAnsi="Trebuchet MS"/>
                <w:lang w:val="it-IT"/>
              </w:rPr>
              <w:t>Domiciliul fiscal</w:t>
            </w:r>
          </w:p>
          <w:tbl>
            <w:tblPr>
              <w:tblW w:w="1046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48"/>
              <w:gridCol w:w="1546"/>
              <w:gridCol w:w="2733"/>
              <w:gridCol w:w="1152"/>
              <w:gridCol w:w="2733"/>
              <w:gridCol w:w="1548"/>
            </w:tblGrid>
            <w:tr>
              <w:trPr>
                <w:trHeight w:val="177"/>
              </w:trPr>
              <w:tc>
                <w:tcPr>
                  <w:tcW w:w="747" w:type="dxa"/>
                  <w:tcBorders>
                    <w:top w:val="nil"/>
                    <w:left w:val="nil"/>
                    <w:bottom w:val="nil"/>
                    <w:right w:val="single" w:sz="6" w:space="0" w:color="000000"/>
                  </w:tcBorders>
                </w:tcPr>
                <w:p>
                  <w:r>
                    <w:rPr>
                      <w:rStyle w:val="rvts7"/>
                      <w:rFonts w:ascii="Trebuchet MS" w:hAnsi="Trebuchet MS"/>
                    </w:rPr>
                    <w:t>Judeţul</w:t>
                  </w:r>
                </w:p>
              </w:tc>
              <w:tc>
                <w:tcPr>
                  <w:tcW w:w="1547" w:type="dxa"/>
                  <w:tcBorders>
                    <w:top w:val="single" w:sz="6" w:space="0" w:color="000000"/>
                    <w:left w:val="single" w:sz="6" w:space="0" w:color="000000"/>
                    <w:bottom w:val="single" w:sz="6" w:space="0" w:color="000000"/>
                    <w:right w:val="single" w:sz="6" w:space="0" w:color="000000"/>
                  </w:tcBorders>
                </w:tcPr>
                <w:p/>
              </w:tc>
              <w:tc>
                <w:tcPr>
                  <w:tcW w:w="2733" w:type="dxa"/>
                  <w:tcBorders>
                    <w:top w:val="nil"/>
                    <w:left w:val="single" w:sz="6" w:space="0" w:color="000000"/>
                    <w:bottom w:val="nil"/>
                    <w:right w:val="single" w:sz="6" w:space="0" w:color="000000"/>
                  </w:tcBorders>
                </w:tcPr>
                <w:p>
                  <w:r>
                    <w:rPr>
                      <w:rStyle w:val="rvts10"/>
                      <w:rFonts w:ascii="Trebuchet MS" w:hAnsi="Trebuchet MS"/>
                    </w:rPr>
                    <w:t>                      Localitatea  </w:t>
                  </w:r>
                </w:p>
              </w:tc>
              <w:tc>
                <w:tcPr>
                  <w:tcW w:w="1152" w:type="dxa"/>
                  <w:tcBorders>
                    <w:top w:val="single" w:sz="6" w:space="0" w:color="000000"/>
                    <w:left w:val="single" w:sz="6" w:space="0" w:color="000000"/>
                    <w:bottom w:val="single" w:sz="6" w:space="0" w:color="000000"/>
                    <w:right w:val="single" w:sz="6" w:space="0" w:color="000000"/>
                  </w:tcBorders>
                </w:tcPr>
                <w:p/>
              </w:tc>
              <w:tc>
                <w:tcPr>
                  <w:tcW w:w="2733" w:type="dxa"/>
                  <w:tcBorders>
                    <w:top w:val="nil"/>
                    <w:left w:val="single" w:sz="6" w:space="0" w:color="000000"/>
                    <w:bottom w:val="nil"/>
                    <w:right w:val="single" w:sz="6" w:space="0" w:color="000000"/>
                  </w:tcBorders>
                </w:tcPr>
                <w:p>
                  <w:r>
                    <w:rPr>
                      <w:rStyle w:val="rvts7"/>
                      <w:rFonts w:ascii="Trebuchet MS" w:hAnsi="Trebuchet MS"/>
                    </w:rPr>
                    <w:t>                              Strada</w:t>
                  </w:r>
                </w:p>
              </w:tc>
              <w:tc>
                <w:tcPr>
                  <w:tcW w:w="1548" w:type="dxa"/>
                  <w:tcBorders>
                    <w:top w:val="single" w:sz="6" w:space="0" w:color="000000"/>
                    <w:left w:val="single" w:sz="6" w:space="0" w:color="000000"/>
                    <w:bottom w:val="single" w:sz="6" w:space="0" w:color="000000"/>
                    <w:right w:val="single" w:sz="6" w:space="0" w:color="000000"/>
                  </w:tcBorders>
                </w:tcPr>
                <w:p/>
              </w:tc>
            </w:tr>
          </w:tbl>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568"/>
              <w:gridCol w:w="173"/>
              <w:gridCol w:w="1826"/>
              <w:gridCol w:w="586"/>
              <w:gridCol w:w="1207"/>
              <w:gridCol w:w="1207"/>
              <w:gridCol w:w="2447"/>
              <w:gridCol w:w="2447"/>
            </w:tblGrid>
            <w:tr>
              <w:trPr>
                <w:trHeight w:val="166"/>
              </w:trPr>
              <w:tc>
                <w:tcPr>
                  <w:tcW w:w="568" w:type="dxa"/>
                  <w:tcBorders>
                    <w:top w:val="nil"/>
                    <w:left w:val="nil"/>
                    <w:bottom w:val="nil"/>
                    <w:right w:val="single" w:sz="6" w:space="0" w:color="000000"/>
                  </w:tcBorders>
                </w:tcPr>
                <w:p>
                  <w:r>
                    <w:rPr>
                      <w:rStyle w:val="rvts7"/>
                      <w:rFonts w:ascii="Trebuchet MS" w:hAnsi="Trebuchet MS"/>
                    </w:rPr>
                    <w:t>Ap.</w:t>
                  </w:r>
                </w:p>
              </w:tc>
              <w:tc>
                <w:tcPr>
                  <w:tcW w:w="173" w:type="dxa"/>
                  <w:tcBorders>
                    <w:top w:val="single" w:sz="6" w:space="0" w:color="000000"/>
                    <w:left w:val="single" w:sz="6" w:space="0" w:color="000000"/>
                    <w:bottom w:val="single" w:sz="6" w:space="0" w:color="000000"/>
                    <w:right w:val="single" w:sz="6" w:space="0" w:color="000000"/>
                  </w:tcBorders>
                </w:tcPr>
                <w:p/>
              </w:tc>
              <w:tc>
                <w:tcPr>
                  <w:tcW w:w="1826" w:type="dxa"/>
                  <w:tcBorders>
                    <w:top w:val="nil"/>
                    <w:left w:val="single" w:sz="6" w:space="0" w:color="000000"/>
                    <w:bottom w:val="nil"/>
                    <w:right w:val="single" w:sz="6" w:space="0" w:color="000000"/>
                  </w:tcBorders>
                </w:tcPr>
                <w:p>
                  <w:r>
                    <w:rPr>
                      <w:rStyle w:val="rvts10"/>
                      <w:rFonts w:ascii="Trebuchet MS" w:hAnsi="Trebuchet MS"/>
                    </w:rPr>
                    <w:t>    Codulpoştal </w:t>
                  </w:r>
                </w:p>
              </w:tc>
              <w:tc>
                <w:tcPr>
                  <w:tcW w:w="586" w:type="dxa"/>
                  <w:tcBorders>
                    <w:top w:val="single" w:sz="6" w:space="0" w:color="000000"/>
                    <w:left w:val="single" w:sz="6" w:space="0" w:color="000000"/>
                    <w:bottom w:val="single" w:sz="6" w:space="0" w:color="000000"/>
                    <w:right w:val="single" w:sz="6" w:space="0" w:color="000000"/>
                  </w:tcBorders>
                </w:tcPr>
                <w:p/>
              </w:tc>
              <w:tc>
                <w:tcPr>
                  <w:tcW w:w="1207" w:type="dxa"/>
                  <w:tcBorders>
                    <w:top w:val="nil"/>
                    <w:left w:val="single" w:sz="6" w:space="0" w:color="000000"/>
                    <w:bottom w:val="nil"/>
                    <w:right w:val="single" w:sz="6" w:space="0" w:color="000000"/>
                  </w:tcBorders>
                </w:tcPr>
                <w:p>
                  <w:r>
                    <w:rPr>
                      <w:rStyle w:val="rvts7"/>
                      <w:rFonts w:ascii="Trebuchet MS" w:hAnsi="Trebuchet MS"/>
                    </w:rPr>
                    <w:t>    Sectorul</w:t>
                  </w:r>
                </w:p>
              </w:tc>
              <w:tc>
                <w:tcPr>
                  <w:tcW w:w="1207" w:type="dxa"/>
                  <w:tcBorders>
                    <w:top w:val="single" w:sz="6" w:space="0" w:color="000000"/>
                    <w:left w:val="single" w:sz="6" w:space="0" w:color="000000"/>
                    <w:bottom w:val="single" w:sz="6" w:space="0" w:color="000000"/>
                    <w:right w:val="single" w:sz="6" w:space="0" w:color="000000"/>
                  </w:tcBorders>
                </w:tcPr>
                <w:p/>
              </w:tc>
              <w:tc>
                <w:tcPr>
                  <w:tcW w:w="2447" w:type="dxa"/>
                  <w:tcBorders>
                    <w:top w:val="nil"/>
                    <w:left w:val="single" w:sz="6" w:space="0" w:color="000000"/>
                    <w:bottom w:val="nil"/>
                    <w:right w:val="single" w:sz="6" w:space="0" w:color="000000"/>
                  </w:tcBorders>
                </w:tcPr>
                <w:p>
                  <w:r>
                    <w:rPr>
                      <w:rStyle w:val="rvts10"/>
                      <w:rFonts w:ascii="Trebuchet MS" w:hAnsi="Trebuchet MS"/>
                    </w:rPr>
                    <w:t>                    Telefon</w:t>
                  </w:r>
                </w:p>
              </w:tc>
              <w:tc>
                <w:tcPr>
                  <w:tcW w:w="2447" w:type="dxa"/>
                  <w:tcBorders>
                    <w:top w:val="single" w:sz="6" w:space="0" w:color="000000"/>
                    <w:left w:val="single" w:sz="6" w:space="0" w:color="000000"/>
                    <w:bottom w:val="single" w:sz="6" w:space="0" w:color="000000"/>
                    <w:right w:val="single" w:sz="6" w:space="0" w:color="000000"/>
                  </w:tcBorders>
                </w:tcPr>
                <w:p/>
              </w:tc>
            </w:tr>
          </w:tbl>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25"/>
              <w:gridCol w:w="1515"/>
              <w:gridCol w:w="2676"/>
              <w:gridCol w:w="2676"/>
              <w:gridCol w:w="2869"/>
            </w:tblGrid>
            <w:tr>
              <w:trPr>
                <w:trHeight w:val="166"/>
              </w:trPr>
              <w:tc>
                <w:tcPr>
                  <w:tcW w:w="725" w:type="dxa"/>
                  <w:tcBorders>
                    <w:top w:val="nil"/>
                    <w:left w:val="nil"/>
                    <w:bottom w:val="nil"/>
                    <w:right w:val="single" w:sz="6" w:space="0" w:color="000000"/>
                  </w:tcBorders>
                </w:tcPr>
                <w:p>
                  <w:r>
                    <w:rPr>
                      <w:rStyle w:val="rvts7"/>
                      <w:rFonts w:ascii="Trebuchet MS" w:hAnsi="Trebuchet MS"/>
                    </w:rPr>
                    <w:t>Fax</w:t>
                  </w:r>
                </w:p>
              </w:tc>
              <w:tc>
                <w:tcPr>
                  <w:tcW w:w="1515" w:type="dxa"/>
                  <w:tcBorders>
                    <w:top w:val="single" w:sz="6" w:space="0" w:color="000000"/>
                    <w:left w:val="single" w:sz="6" w:space="0" w:color="000000"/>
                    <w:bottom w:val="single" w:sz="6" w:space="0" w:color="000000"/>
                    <w:right w:val="single" w:sz="6" w:space="0" w:color="000000"/>
                  </w:tcBorders>
                </w:tcPr>
                <w:p/>
              </w:tc>
              <w:tc>
                <w:tcPr>
                  <w:tcW w:w="2676" w:type="dxa"/>
                  <w:tcBorders>
                    <w:top w:val="nil"/>
                    <w:left w:val="single" w:sz="6" w:space="0" w:color="000000"/>
                    <w:bottom w:val="nil"/>
                    <w:right w:val="single" w:sz="6" w:space="0" w:color="000000"/>
                  </w:tcBorders>
                </w:tcPr>
                <w:p>
                  <w:r>
                    <w:rPr>
                      <w:rStyle w:val="rvts10"/>
                      <w:rFonts w:ascii="Trebuchet MS" w:hAnsi="Trebuchet MS"/>
                    </w:rPr>
                    <w:t>                       E-mail  </w:t>
                  </w:r>
                </w:p>
              </w:tc>
              <w:tc>
                <w:tcPr>
                  <w:tcW w:w="2676" w:type="dxa"/>
                  <w:tcBorders>
                    <w:top w:val="single" w:sz="6" w:space="0" w:color="000000"/>
                    <w:left w:val="single" w:sz="6" w:space="0" w:color="000000"/>
                    <w:bottom w:val="single" w:sz="6" w:space="0" w:color="000000"/>
                    <w:right w:val="single" w:sz="6" w:space="0" w:color="000000"/>
                  </w:tcBorders>
                </w:tcPr>
                <w:p/>
              </w:tc>
              <w:tc>
                <w:tcPr>
                  <w:tcW w:w="2869" w:type="dxa"/>
                  <w:tcBorders>
                    <w:top w:val="nil"/>
                    <w:left w:val="single" w:sz="6" w:space="0" w:color="000000"/>
                    <w:bottom w:val="nil"/>
                    <w:right w:val="nil"/>
                  </w:tcBorders>
                </w:tcPr>
                <w:p>
                  <w:r>
                    <w:rPr>
                      <w:rStyle w:val="rvts7"/>
                      <w:rFonts w:ascii="Trebuchet MS" w:hAnsi="Trebuchet MS"/>
                    </w:rPr>
                    <w:t>                               </w:t>
                  </w:r>
                </w:p>
              </w:tc>
            </w:tr>
          </w:tbl>
          <w:p/>
        </w:tc>
      </w:tr>
    </w:tbl>
    <w:p>
      <w:pPr>
        <w:rPr>
          <w:lang w:val="it-IT"/>
        </w:rPr>
      </w:pPr>
    </w:p>
    <w:p/>
    <w:p>
      <w:r>
        <w:br w:type="page"/>
      </w:r>
    </w:p>
    <w:tbl>
      <w:tblPr>
        <w:tblW w:w="950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14"/>
        <w:gridCol w:w="4853"/>
        <w:gridCol w:w="4334"/>
      </w:tblGrid>
      <w:tr>
        <w:trPr>
          <w:trHeight w:val="233"/>
        </w:trPr>
        <w:tc>
          <w:tcPr>
            <w:tcW w:w="9501" w:type="dxa"/>
            <w:gridSpan w:val="3"/>
            <w:tcBorders>
              <w:top w:val="nil"/>
              <w:left w:val="nil"/>
              <w:bottom w:val="nil"/>
              <w:right w:val="nil"/>
            </w:tcBorders>
          </w:tcPr>
          <w:p>
            <w:pPr>
              <w:rPr>
                <w:lang w:val="it-IT"/>
              </w:rPr>
            </w:pPr>
            <w:r>
              <w:rPr>
                <w:rStyle w:val="rvts11"/>
                <w:rFonts w:ascii="Trebuchet MS" w:hAnsi="Trebuchet MS"/>
                <w:lang w:val="it-IT"/>
              </w:rPr>
              <w:lastRenderedPageBreak/>
              <w:t>    B. Datele de identificare a proiectului</w:t>
            </w:r>
          </w:p>
        </w:tc>
      </w:tr>
      <w:tr>
        <w:trPr>
          <w:trHeight w:val="7641"/>
        </w:trPr>
        <w:tc>
          <w:tcPr>
            <w:tcW w:w="9501" w:type="dxa"/>
            <w:gridSpan w:val="3"/>
            <w:tcBorders>
              <w:top w:val="nil"/>
              <w:left w:val="nil"/>
              <w:bottom w:val="nil"/>
              <w:right w:val="nil"/>
            </w:tcBorders>
          </w:tcPr>
          <w:tbl>
            <w:tblPr>
              <w:tblW w:w="8056"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8056"/>
            </w:tblGrid>
            <w:tr>
              <w:trPr>
                <w:trHeight w:val="4324"/>
              </w:trPr>
              <w:tc>
                <w:tcPr>
                  <w:tcW w:w="8056" w:type="dxa"/>
                  <w:tcBorders>
                    <w:top w:val="nil"/>
                    <w:left w:val="nil"/>
                    <w:bottom w:val="nil"/>
                    <w:right w:val="single" w:sz="6" w:space="0" w:color="000000"/>
                  </w:tcBorders>
                </w:tcPr>
                <w:tbl>
                  <w:tblPr>
                    <w:tblpPr w:leftFromText="180" w:rightFromText="180" w:vertAnchor="text" w:tblpY="1"/>
                    <w:tblOverlap w:val="neve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8"/>
                  </w:tblGrid>
                  <w:tr>
                    <w:trPr>
                      <w:trHeight w:val="1327"/>
                    </w:trPr>
                    <w:tc>
                      <w:tcPr>
                        <w:tcW w:w="8038" w:type="dxa"/>
                      </w:tcPr>
                      <w:p>
                        <w:pPr>
                          <w:rPr>
                            <w:lang w:val="ro-RO" w:eastAsia="ro-RO"/>
                          </w:rPr>
                        </w:pPr>
                      </w:p>
                      <w:p>
                        <w:pPr>
                          <w:rPr>
                            <w:lang w:val="ro-RO" w:eastAsia="ro-RO"/>
                          </w:rPr>
                        </w:pPr>
                        <w:r>
                          <w:rPr>
                            <w:lang w:val="ro-RO" w:eastAsia="ro-RO"/>
                          </w:rPr>
                          <w:t>Titlul proiectului</w:t>
                        </w:r>
                      </w:p>
                      <w:tbl>
                        <w:tblPr>
                          <w:tblpPr w:leftFromText="180" w:rightFromText="18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tblGrid>
                        <w:tr>
                          <w:trPr>
                            <w:trHeight w:val="340"/>
                          </w:trPr>
                          <w:tc>
                            <w:tcPr>
                              <w:tcW w:w="5498" w:type="dxa"/>
                            </w:tcPr>
                            <w:p>
                              <w:pPr>
                                <w:rPr>
                                  <w:lang w:val="ro-RO" w:eastAsia="ro-RO"/>
                                </w:rPr>
                              </w:pPr>
                            </w:p>
                          </w:tc>
                        </w:tr>
                      </w:tbl>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tblGrid>
                        <w:tr>
                          <w:trPr>
                            <w:trHeight w:val="340"/>
                            <w:jc w:val="right"/>
                          </w:trPr>
                          <w:tc>
                            <w:tcPr>
                              <w:tcW w:w="4734" w:type="dxa"/>
                            </w:tcPr>
                            <w:p>
                              <w:pPr>
                                <w:rPr>
                                  <w:lang w:val="ro-RO" w:eastAsia="ro-RO"/>
                                </w:rPr>
                              </w:pPr>
                            </w:p>
                          </w:tc>
                        </w:tr>
                      </w:tbl>
                      <w:p>
                        <w:pPr>
                          <w:rPr>
                            <w:lang w:val="ro-RO" w:eastAsia="ro-RO"/>
                          </w:rPr>
                        </w:pPr>
                        <w:r>
                          <w:rPr>
                            <w:lang w:val="ro-RO" w:eastAsia="ro-RO"/>
                          </w:rPr>
                          <w:t xml:space="preserve">Numele programului </w:t>
                        </w:r>
                      </w:p>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tblGrid>
                        <w:tr>
                          <w:trPr>
                            <w:trHeight w:val="340"/>
                            <w:jc w:val="right"/>
                          </w:trPr>
                          <w:tc>
                            <w:tcPr>
                              <w:tcW w:w="5039" w:type="dxa"/>
                            </w:tcPr>
                            <w:p>
                              <w:pPr>
                                <w:rPr>
                                  <w:lang w:val="ro-RO" w:eastAsia="ro-RO"/>
                                </w:rPr>
                              </w:pPr>
                            </w:p>
                          </w:tc>
                        </w:tr>
                      </w:tbl>
                      <w:p>
                        <w:pPr>
                          <w:rPr>
                            <w:lang w:val="ro-RO" w:eastAsia="ro-RO"/>
                          </w:rPr>
                        </w:pPr>
                        <w:r>
                          <w:rPr>
                            <w:lang w:val="ro-RO" w:eastAsia="ro-RO"/>
                          </w:rPr>
                          <w:t>Axa prioritară</w:t>
                        </w:r>
                      </w:p>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tblGrid>
                        <w:tr>
                          <w:trPr>
                            <w:trHeight w:val="340"/>
                            <w:jc w:val="right"/>
                          </w:trPr>
                          <w:tc>
                            <w:tcPr>
                              <w:tcW w:w="5043" w:type="dxa"/>
                            </w:tcPr>
                            <w:p>
                              <w:pPr>
                                <w:rPr>
                                  <w:lang w:val="ro-RO" w:eastAsia="ro-RO"/>
                                </w:rPr>
                              </w:pPr>
                            </w:p>
                          </w:tc>
                        </w:tr>
                      </w:tbl>
                      <w:p>
                        <w:pPr>
                          <w:rPr>
                            <w:lang w:val="ro-RO" w:eastAsia="ro-RO"/>
                          </w:rPr>
                        </w:pPr>
                        <w:r>
                          <w:rPr>
                            <w:lang w:val="ro-RO" w:eastAsia="ro-RO"/>
                          </w:rPr>
                          <w:t>Prioritate de investiție</w:t>
                        </w:r>
                      </w:p>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tblGrid>
                        <w:tr>
                          <w:trPr>
                            <w:trHeight w:val="340"/>
                            <w:jc w:val="right"/>
                          </w:trPr>
                          <w:tc>
                            <w:tcPr>
                              <w:tcW w:w="5039" w:type="dxa"/>
                            </w:tcPr>
                            <w:p>
                              <w:pPr>
                                <w:rPr>
                                  <w:lang w:val="ro-RO" w:eastAsia="ro-RO"/>
                                </w:rPr>
                              </w:pPr>
                            </w:p>
                          </w:tc>
                        </w:tr>
                      </w:tbl>
                      <w:p>
                        <w:pPr>
                          <w:rPr>
                            <w:lang w:val="ro-RO" w:eastAsia="ro-RO"/>
                          </w:rPr>
                        </w:pPr>
                        <w:r>
                          <w:rPr>
                            <w:lang w:val="ro-RO" w:eastAsia="ro-RO"/>
                          </w:rPr>
                          <w:t>Operațiune</w:t>
                        </w:r>
                      </w:p>
                      <w:p>
                        <w:pPr>
                          <w:rPr>
                            <w:lang w:val="ro-RO" w:eastAsia="ro-RO"/>
                          </w:rPr>
                        </w:pPr>
                      </w:p>
                      <w:tbl>
                        <w:tblPr>
                          <w:tblpPr w:leftFromText="180" w:rightFromText="18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tblGrid>
                        <w:tr>
                          <w:trPr>
                            <w:trHeight w:val="340"/>
                          </w:trPr>
                          <w:tc>
                            <w:tcPr>
                              <w:tcW w:w="5248" w:type="dxa"/>
                            </w:tcPr>
                            <w:p>
                              <w:pPr>
                                <w:rPr>
                                  <w:lang w:val="ro-RO" w:eastAsia="ro-RO"/>
                                </w:rPr>
                              </w:pPr>
                            </w:p>
                          </w:tc>
                        </w:tr>
                      </w:tbl>
                      <w:p>
                        <w:pPr>
                          <w:rPr>
                            <w:lang w:val="ro-RO" w:eastAsia="ro-RO"/>
                          </w:rPr>
                        </w:pPr>
                        <w:r>
                          <w:rPr>
                            <w:lang w:val="ro-RO" w:eastAsia="ro-RO"/>
                          </w:rPr>
                          <w:t xml:space="preserve">Data depunerii operațiunii    </w:t>
                        </w:r>
                      </w:p>
                      <w:p>
                        <w:pPr>
                          <w:rPr>
                            <w:lang w:val="ro-RO" w:eastAsia="ro-RO"/>
                          </w:rPr>
                        </w:pPr>
                      </w:p>
                    </w:tc>
                  </w:tr>
                </w:tbl>
                <w:p/>
              </w:tc>
            </w:tr>
          </w:tbl>
          <w:p>
            <w:pPr>
              <w:rPr>
                <w:lang w:val="it-IT"/>
              </w:rPr>
            </w:pPr>
          </w:p>
        </w:tc>
      </w:tr>
      <w:tr>
        <w:trPr>
          <w:trHeight w:val="1462"/>
        </w:trPr>
        <w:tc>
          <w:tcPr>
            <w:tcW w:w="9501" w:type="dxa"/>
            <w:gridSpan w:val="3"/>
            <w:tcBorders>
              <w:top w:val="nil"/>
              <w:left w:val="nil"/>
              <w:bottom w:val="nil"/>
              <w:right w:val="nil"/>
            </w:tcBorders>
          </w:tcPr>
          <w:p>
            <w:r>
              <w:rPr>
                <w:b/>
                <w:lang w:val="ro-RO"/>
              </w:rPr>
              <w:t>C.</w:t>
            </w:r>
            <w:r>
              <w:rPr>
                <w:lang w:val="ro-RO"/>
              </w:rPr>
              <w:t xml:space="preserve"> …………………………………………(numele şi statutul juridic al beneficiarului), solicitant de finanţare pentru operațiunea menţionată mai sus, la…………………………………….. ………………………(numele Autorităţii de Management/Organism Intermediar), în conformitate cu prevederile Legii nr. 227/2015 privind Codul fiscal, cu modificările şi completările ulterioare (Codul fiscal), declar că mă încadrez în următoarea categorie de persoane din punct de vedere al regimului de TVA aplicabil:</w:t>
            </w:r>
          </w:p>
        </w:tc>
      </w:tr>
      <w:tr>
        <w:trPr>
          <w:trHeight w:val="374"/>
        </w:trPr>
        <w:tc>
          <w:tcPr>
            <w:tcW w:w="9501" w:type="dxa"/>
            <w:gridSpan w:val="3"/>
            <w:tcBorders>
              <w:top w:val="nil"/>
              <w:left w:val="nil"/>
              <w:bottom w:val="nil"/>
              <w:right w:val="nil"/>
            </w:tcBorders>
          </w:tcPr>
          <w:p/>
        </w:tc>
      </w:tr>
      <w:tr>
        <w:trPr>
          <w:trHeight w:val="514"/>
        </w:trPr>
        <w:tc>
          <w:tcPr>
            <w:tcW w:w="9501" w:type="dxa"/>
            <w:gridSpan w:val="3"/>
            <w:tcBorders>
              <w:top w:val="nil"/>
              <w:left w:val="nil"/>
              <w:bottom w:val="nil"/>
              <w:right w:val="nil"/>
            </w:tcBorders>
          </w:tcPr>
          <w:p>
            <w:r>
              <w:rPr>
                <w:lang w:val="ro-RO"/>
              </w:rPr>
              <w:t>a) [ ] persoană neînregistrată în scopuri de TVA, conform Codului Fiscal</w:t>
            </w:r>
          </w:p>
        </w:tc>
      </w:tr>
      <w:tr>
        <w:trPr>
          <w:trHeight w:val="524"/>
        </w:trPr>
        <w:tc>
          <w:tcPr>
            <w:tcW w:w="9501" w:type="dxa"/>
            <w:gridSpan w:val="3"/>
            <w:tcBorders>
              <w:top w:val="nil"/>
              <w:left w:val="nil"/>
              <w:bottom w:val="nil"/>
              <w:right w:val="nil"/>
            </w:tcBorders>
          </w:tcPr>
          <w:p>
            <w:r>
              <w:rPr>
                <w:lang w:val="ro-RO"/>
              </w:rPr>
              <w:t>b) [ ] persoană înregistrată în scopuri de TVA, conform Codului Fiscal</w:t>
            </w:r>
          </w:p>
        </w:tc>
      </w:tr>
      <w:tr>
        <w:trPr>
          <w:trHeight w:val="283"/>
        </w:trPr>
        <w:tc>
          <w:tcPr>
            <w:tcW w:w="9501" w:type="dxa"/>
            <w:gridSpan w:val="3"/>
            <w:tcBorders>
              <w:top w:val="nil"/>
              <w:left w:val="nil"/>
              <w:bottom w:val="nil"/>
              <w:right w:val="nil"/>
            </w:tcBorders>
          </w:tcPr>
          <w:p>
            <w:pPr>
              <w:rPr>
                <w:rFonts w:asciiTheme="minorHAnsi" w:hAnsiTheme="minorHAnsi" w:cstheme="minorHAnsi"/>
              </w:rPr>
            </w:pPr>
            <w:r>
              <w:rPr>
                <w:rFonts w:asciiTheme="minorHAnsi" w:hAnsiTheme="minorHAnsi" w:cstheme="minorHAnsi"/>
                <w:b/>
                <w:lang w:val="ro-RO"/>
              </w:rPr>
              <w:lastRenderedPageBreak/>
              <w:t>D</w:t>
            </w:r>
            <w:r>
              <w:rPr>
                <w:rStyle w:val="rvts7"/>
                <w:rFonts w:asciiTheme="minorHAnsi" w:hAnsiTheme="minorHAnsi" w:cstheme="minorHAnsi"/>
                <w:lang w:val="it-IT"/>
              </w:rPr>
              <w:t>. ……………………………………………………………………………….(numele şi statutul juridic al beneficiarului), solicitant de finanţare pentru operațiunea menţionată mai sus, la………………………………………………………………………………(numele Autorităţii de Management/Organism Intermediar), în conformitate cu prevederile Codului fiscal, declar că pentru achiziţiile, din cadrul proiectului, cuprinse în tabelul de mai jos, TVA este nedeductibilă potrivit legislației naționale în domeniul fiscal și nerecuperabilă conform prevederilor art. 69 alin. (3), litera c) din Regulamentul (UE) nr. 1303/2013.</w:t>
            </w:r>
          </w:p>
        </w:tc>
      </w:tr>
      <w:tr>
        <w:trPr>
          <w:trHeight w:val="147"/>
        </w:trPr>
        <w:tc>
          <w:tcPr>
            <w:tcW w:w="298" w:type="dxa"/>
            <w:tcBorders>
              <w:top w:val="nil"/>
              <w:left w:val="nil"/>
              <w:bottom w:val="single" w:sz="6" w:space="0" w:color="000000"/>
              <w:right w:val="nil"/>
            </w:tcBorders>
          </w:tcPr>
          <w:p>
            <w:pPr>
              <w:rPr>
                <w:rFonts w:asciiTheme="minorHAnsi" w:hAnsiTheme="minorHAnsi" w:cstheme="minorHAnsi"/>
                <w:lang w:val="it-IT"/>
              </w:rPr>
            </w:pPr>
          </w:p>
        </w:tc>
        <w:tc>
          <w:tcPr>
            <w:tcW w:w="4868" w:type="dxa"/>
            <w:tcBorders>
              <w:top w:val="nil"/>
              <w:left w:val="nil"/>
              <w:bottom w:val="single" w:sz="6" w:space="0" w:color="000000"/>
              <w:right w:val="nil"/>
            </w:tcBorders>
          </w:tcPr>
          <w:p>
            <w:pPr>
              <w:rPr>
                <w:rFonts w:asciiTheme="minorHAnsi" w:hAnsiTheme="minorHAnsi" w:cstheme="minorHAnsi"/>
                <w:lang w:val="it-IT"/>
              </w:rPr>
            </w:pPr>
          </w:p>
        </w:tc>
        <w:tc>
          <w:tcPr>
            <w:tcW w:w="4335" w:type="dxa"/>
            <w:tcBorders>
              <w:top w:val="nil"/>
              <w:left w:val="nil"/>
              <w:bottom w:val="single" w:sz="6" w:space="0" w:color="000000"/>
              <w:right w:val="nil"/>
            </w:tcBorders>
          </w:tcPr>
          <w:p>
            <w:pPr>
              <w:rPr>
                <w:rFonts w:asciiTheme="minorHAnsi" w:hAnsiTheme="minorHAnsi" w:cstheme="minorHAnsi"/>
                <w:lang w:val="it-IT"/>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rPr>
            </w:pPr>
            <w:r>
              <w:rPr>
                <w:rStyle w:val="rvts7"/>
                <w:rFonts w:asciiTheme="minorHAnsi" w:hAnsiTheme="minorHAnsi" w:cstheme="minorHAnsi"/>
              </w:rPr>
              <w:t>Nr. crt.</w:t>
            </w: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rPr>
            </w:pPr>
            <w:r>
              <w:rPr>
                <w:rStyle w:val="rvts7"/>
                <w:rFonts w:asciiTheme="minorHAnsi" w:hAnsiTheme="minorHAnsi" w:cstheme="minorHAnsi"/>
              </w:rPr>
              <w:t>Achiziţia</w:t>
            </w: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rPr>
            </w:pPr>
            <w:r>
              <w:rPr>
                <w:rStyle w:val="rvts7"/>
                <w:rFonts w:asciiTheme="minorHAnsi" w:hAnsiTheme="minorHAnsi" w:cstheme="minorHAnsi"/>
              </w:rPr>
              <w:t>Scopulachiziţiei/Activitateaprevăzutăîncadrul proiectului</w:t>
            </w:r>
            <w:r>
              <w:rPr>
                <w:rStyle w:val="rvts16"/>
                <w:rFonts w:asciiTheme="minorHAnsi" w:hAnsiTheme="minorHAnsi" w:cstheme="minorHAnsi"/>
              </w:rPr>
              <w:t>1</w:t>
            </w:r>
            <w:r>
              <w:rPr>
                <w:rStyle w:val="rvts7"/>
                <w:rFonts w:asciiTheme="minorHAnsi" w:hAnsiTheme="minorHAnsi" w:cstheme="minorHAnsi"/>
              </w:rPr>
              <w:t>)</w:t>
            </w:r>
          </w:p>
        </w:tc>
      </w:tr>
      <w:tr>
        <w:trPr>
          <w:trHeight w:val="147"/>
        </w:trPr>
        <w:tc>
          <w:tcPr>
            <w:tcW w:w="9501" w:type="dxa"/>
            <w:gridSpan w:val="3"/>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r>
              <w:rPr>
                <w:rStyle w:val="rvts7"/>
                <w:rFonts w:asciiTheme="minorHAnsi" w:hAnsiTheme="minorHAnsi" w:cstheme="minorHAnsi"/>
              </w:rPr>
              <w:t>    </w:t>
            </w:r>
            <w:r>
              <w:rPr>
                <w:rStyle w:val="rvts16"/>
                <w:rFonts w:asciiTheme="minorHAnsi" w:hAnsiTheme="minorHAnsi" w:cstheme="minorHAnsi"/>
                <w:lang w:val="it-IT"/>
              </w:rPr>
              <w:t>1</w:t>
            </w:r>
            <w:r>
              <w:rPr>
                <w:rStyle w:val="rvts7"/>
                <w:rFonts w:asciiTheme="minorHAnsi" w:hAnsiTheme="minorHAnsi" w:cstheme="minorHAnsi"/>
                <w:lang w:val="it-IT"/>
              </w:rPr>
              <w:t>) Atenţie! Se va completa cu aceleaşi informaţii corespunzătoare din cererea de finanţare.</w:t>
            </w: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it-IT"/>
              </w:rPr>
            </w:pPr>
          </w:p>
        </w:tc>
      </w:tr>
    </w:tbl>
    <w:p>
      <w:pPr>
        <w:rPr>
          <w:rFonts w:asciiTheme="minorHAnsi" w:hAnsiTheme="minorHAnsi" w:cstheme="minorHAnsi"/>
          <w:lang w:val="it-IT"/>
        </w:rPr>
      </w:pPr>
    </w:p>
    <w:tbl>
      <w:tblPr>
        <w:tblW w:w="9492"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811"/>
        <w:gridCol w:w="1612"/>
        <w:gridCol w:w="3121"/>
        <w:gridCol w:w="1948"/>
      </w:tblGrid>
      <w:tr>
        <w:trPr>
          <w:trHeight w:val="234"/>
        </w:trPr>
        <w:tc>
          <w:tcPr>
            <w:tcW w:w="2811" w:type="dxa"/>
            <w:tcBorders>
              <w:top w:val="nil"/>
              <w:left w:val="nil"/>
              <w:bottom w:val="nil"/>
              <w:right w:val="single" w:sz="6" w:space="0" w:color="000000"/>
            </w:tcBorders>
          </w:tcPr>
          <w:p>
            <w:pPr>
              <w:rPr>
                <w:rFonts w:asciiTheme="minorHAnsi" w:hAnsiTheme="minorHAnsi" w:cstheme="minorHAnsi"/>
              </w:rPr>
            </w:pPr>
            <w:r>
              <w:rPr>
                <w:rStyle w:val="rvts7"/>
                <w:rFonts w:asciiTheme="minorHAnsi" w:hAnsiTheme="minorHAnsi" w:cstheme="minorHAnsi"/>
                <w:lang w:val="it-IT"/>
              </w:rPr>
              <w:t xml:space="preserve">    </w:t>
            </w:r>
            <w:r>
              <w:rPr>
                <w:rStyle w:val="rvts7"/>
                <w:rFonts w:asciiTheme="minorHAnsi" w:hAnsiTheme="minorHAnsi" w:cstheme="minorHAnsi"/>
              </w:rPr>
              <w:t>Numele şi prenumele*):</w:t>
            </w:r>
          </w:p>
        </w:tc>
        <w:tc>
          <w:tcPr>
            <w:tcW w:w="1612"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rPr>
            </w:pPr>
          </w:p>
        </w:tc>
        <w:tc>
          <w:tcPr>
            <w:tcW w:w="3121" w:type="dxa"/>
            <w:tcBorders>
              <w:top w:val="nil"/>
              <w:left w:val="single" w:sz="6" w:space="0" w:color="000000"/>
              <w:bottom w:val="nil"/>
              <w:right w:val="single" w:sz="6" w:space="0" w:color="000000"/>
            </w:tcBorders>
          </w:tcPr>
          <w:p>
            <w:pPr>
              <w:rPr>
                <w:rFonts w:asciiTheme="minorHAnsi" w:hAnsiTheme="minorHAnsi" w:cstheme="minorHAnsi"/>
              </w:rPr>
            </w:pPr>
            <w:r>
              <w:rPr>
                <w:rStyle w:val="rvts10"/>
                <w:rFonts w:asciiTheme="minorHAnsi" w:hAnsiTheme="minorHAnsi" w:cstheme="minorHAnsi"/>
              </w:rPr>
              <w:t>      </w:t>
            </w:r>
            <w:r>
              <w:rPr>
                <w:rStyle w:val="rvts7"/>
                <w:rFonts w:asciiTheme="minorHAnsi" w:hAnsiTheme="minorHAnsi" w:cstheme="minorHAnsi"/>
              </w:rPr>
              <w:t>Semnătura şi</w:t>
            </w:r>
            <w:r>
              <w:rPr>
                <w:rStyle w:val="rvts10"/>
                <w:rFonts w:asciiTheme="minorHAnsi" w:hAnsiTheme="minorHAnsi" w:cstheme="minorHAnsi"/>
              </w:rPr>
              <w:t> ştampila      </w:t>
            </w:r>
          </w:p>
        </w:tc>
        <w:tc>
          <w:tcPr>
            <w:tcW w:w="1948" w:type="dxa"/>
            <w:tcBorders>
              <w:top w:val="single" w:sz="6" w:space="0" w:color="000000"/>
              <w:left w:val="single" w:sz="6" w:space="0" w:color="000000"/>
              <w:bottom w:val="nil"/>
              <w:right w:val="single" w:sz="6" w:space="0" w:color="000000"/>
            </w:tcBorders>
          </w:tcPr>
          <w:p>
            <w:pPr>
              <w:rPr>
                <w:rFonts w:asciiTheme="minorHAnsi" w:hAnsiTheme="minorHAnsi" w:cstheme="minorHAnsi"/>
              </w:rPr>
            </w:pPr>
          </w:p>
        </w:tc>
      </w:tr>
      <w:tr>
        <w:trPr>
          <w:trHeight w:val="226"/>
        </w:trPr>
        <w:tc>
          <w:tcPr>
            <w:tcW w:w="2811" w:type="dxa"/>
            <w:tcBorders>
              <w:top w:val="nil"/>
              <w:left w:val="nil"/>
              <w:bottom w:val="nil"/>
              <w:right w:val="single" w:sz="6" w:space="0" w:color="000000"/>
            </w:tcBorders>
          </w:tcPr>
          <w:p>
            <w:pPr>
              <w:rPr>
                <w:rFonts w:asciiTheme="minorHAnsi" w:hAnsiTheme="minorHAnsi" w:cstheme="minorHAnsi"/>
              </w:rPr>
            </w:pPr>
            <w:r>
              <w:rPr>
                <w:rStyle w:val="rvts7"/>
                <w:rFonts w:asciiTheme="minorHAnsi" w:hAnsiTheme="minorHAnsi" w:cstheme="minorHAnsi"/>
              </w:rPr>
              <w:t>    Funcţia:</w:t>
            </w:r>
          </w:p>
        </w:tc>
        <w:tc>
          <w:tcPr>
            <w:tcW w:w="1612"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rPr>
            </w:pPr>
          </w:p>
        </w:tc>
        <w:tc>
          <w:tcPr>
            <w:tcW w:w="3121" w:type="dxa"/>
            <w:tcBorders>
              <w:top w:val="nil"/>
              <w:left w:val="single" w:sz="6" w:space="0" w:color="000000"/>
              <w:bottom w:val="nil"/>
              <w:right w:val="single" w:sz="6" w:space="0" w:color="000000"/>
            </w:tcBorders>
          </w:tcPr>
          <w:p>
            <w:pPr>
              <w:rPr>
                <w:rFonts w:asciiTheme="minorHAnsi" w:hAnsiTheme="minorHAnsi" w:cstheme="minorHAnsi"/>
              </w:rPr>
            </w:pPr>
            <w:r>
              <w:rPr>
                <w:rStyle w:val="rvts10"/>
                <w:rFonts w:asciiTheme="minorHAnsi" w:hAnsiTheme="minorHAnsi" w:cstheme="minorHAnsi"/>
              </w:rPr>
              <w:t>                       </w:t>
            </w:r>
          </w:p>
        </w:tc>
        <w:tc>
          <w:tcPr>
            <w:tcW w:w="1948" w:type="dxa"/>
            <w:tcBorders>
              <w:top w:val="nil"/>
              <w:left w:val="single" w:sz="6" w:space="0" w:color="000000"/>
              <w:bottom w:val="single" w:sz="6" w:space="0" w:color="000000"/>
              <w:right w:val="single" w:sz="6" w:space="0" w:color="000000"/>
            </w:tcBorders>
          </w:tcPr>
          <w:p>
            <w:pPr>
              <w:rPr>
                <w:rFonts w:asciiTheme="minorHAnsi" w:hAnsiTheme="minorHAnsi" w:cstheme="minorHAnsi"/>
              </w:rPr>
            </w:pPr>
          </w:p>
        </w:tc>
      </w:tr>
      <w:tr>
        <w:trPr>
          <w:trHeight w:val="234"/>
        </w:trPr>
        <w:tc>
          <w:tcPr>
            <w:tcW w:w="2811" w:type="dxa"/>
            <w:tcBorders>
              <w:top w:val="nil"/>
              <w:left w:val="nil"/>
              <w:bottom w:val="nil"/>
              <w:right w:val="nil"/>
            </w:tcBorders>
          </w:tcPr>
          <w:p>
            <w:pPr>
              <w:rPr>
                <w:rFonts w:asciiTheme="minorHAnsi" w:hAnsiTheme="minorHAnsi" w:cstheme="minorHAnsi"/>
              </w:rPr>
            </w:pPr>
            <w:r>
              <w:rPr>
                <w:rStyle w:val="rvts7"/>
                <w:rFonts w:asciiTheme="minorHAnsi" w:hAnsiTheme="minorHAnsi" w:cstheme="minorHAnsi"/>
              </w:rPr>
              <w:t>_____________</w:t>
            </w:r>
          </w:p>
        </w:tc>
        <w:tc>
          <w:tcPr>
            <w:tcW w:w="1612" w:type="dxa"/>
            <w:tcBorders>
              <w:top w:val="single" w:sz="6" w:space="0" w:color="000000"/>
              <w:left w:val="nil"/>
              <w:bottom w:val="nil"/>
              <w:right w:val="nil"/>
            </w:tcBorders>
          </w:tcPr>
          <w:p>
            <w:pPr>
              <w:rPr>
                <w:rFonts w:asciiTheme="minorHAnsi" w:hAnsiTheme="minorHAnsi" w:cstheme="minorHAnsi"/>
              </w:rPr>
            </w:pPr>
          </w:p>
        </w:tc>
        <w:tc>
          <w:tcPr>
            <w:tcW w:w="3121" w:type="dxa"/>
            <w:tcBorders>
              <w:top w:val="nil"/>
              <w:left w:val="nil"/>
              <w:bottom w:val="nil"/>
              <w:right w:val="nil"/>
            </w:tcBorders>
          </w:tcPr>
          <w:p>
            <w:pPr>
              <w:rPr>
                <w:rFonts w:asciiTheme="minorHAnsi" w:hAnsiTheme="minorHAnsi" w:cstheme="minorHAnsi"/>
              </w:rPr>
            </w:pPr>
          </w:p>
        </w:tc>
        <w:tc>
          <w:tcPr>
            <w:tcW w:w="1948" w:type="dxa"/>
            <w:tcBorders>
              <w:top w:val="single" w:sz="6" w:space="0" w:color="000000"/>
              <w:left w:val="nil"/>
              <w:bottom w:val="nil"/>
              <w:right w:val="nil"/>
            </w:tcBorders>
          </w:tcPr>
          <w:p>
            <w:pPr>
              <w:rPr>
                <w:rFonts w:asciiTheme="minorHAnsi" w:hAnsiTheme="minorHAnsi" w:cstheme="minorHAnsi"/>
              </w:rPr>
            </w:pPr>
          </w:p>
        </w:tc>
      </w:tr>
      <w:tr>
        <w:trPr>
          <w:trHeight w:val="461"/>
        </w:trPr>
        <w:tc>
          <w:tcPr>
            <w:tcW w:w="9492" w:type="dxa"/>
            <w:gridSpan w:val="4"/>
            <w:tcBorders>
              <w:top w:val="nil"/>
              <w:left w:val="nil"/>
              <w:bottom w:val="nil"/>
              <w:right w:val="nil"/>
            </w:tcBorders>
          </w:tcPr>
          <w:p>
            <w:pPr>
              <w:rPr>
                <w:rFonts w:asciiTheme="minorHAnsi" w:hAnsiTheme="minorHAnsi" w:cstheme="minorHAnsi"/>
                <w:lang w:val="it-IT"/>
              </w:rPr>
            </w:pPr>
            <w:r>
              <w:rPr>
                <w:rStyle w:val="rvts7"/>
                <w:rFonts w:asciiTheme="minorHAnsi" w:hAnsiTheme="minorHAnsi" w:cstheme="minorHAnsi"/>
                <w:lang w:val="it-IT"/>
              </w:rPr>
              <w:t>    *) Se va completa de către reprezentantul legal al solicitantului sau o persoană abilitată să reprezinte solicitantul.</w:t>
            </w:r>
          </w:p>
        </w:tc>
      </w:tr>
    </w:tbl>
    <w:p>
      <w:pPr>
        <w:rPr>
          <w:rFonts w:asciiTheme="minorHAnsi" w:hAnsiTheme="minorHAnsi" w:cstheme="minorHAnsi"/>
          <w:lang w:val="it-IT"/>
        </w:rPr>
      </w:pPr>
    </w:p>
    <w:p>
      <w:pPr>
        <w:rPr>
          <w:lang w:val="it-IT"/>
        </w:rPr>
      </w:pPr>
      <w:r>
        <w:rPr>
          <w:lang w:val="it-IT"/>
        </w:rPr>
        <w:br w:type="page"/>
      </w:r>
    </w:p>
    <w:p>
      <w:pPr>
        <w:keepNext/>
        <w:spacing w:before="240" w:after="120" w:line="240" w:lineRule="auto"/>
        <w:ind w:left="576" w:hanging="576"/>
        <w:outlineLvl w:val="1"/>
        <w:rPr>
          <w:rFonts w:ascii="Trebuchet MS" w:eastAsia="Times New Roman" w:hAnsi="Trebuchet MS" w:cs="Arial"/>
          <w:sz w:val="24"/>
          <w:szCs w:val="28"/>
          <w:lang w:val="ro-RO"/>
        </w:rPr>
      </w:pPr>
      <w:bookmarkStart w:id="111" w:name="_Toc41298534"/>
      <w:r>
        <w:rPr>
          <w:rFonts w:ascii="Trebuchet MS" w:eastAsia="Times New Roman" w:hAnsi="Trebuchet MS" w:cs="Arial"/>
          <w:sz w:val="24"/>
          <w:szCs w:val="28"/>
          <w:lang w:val="ro-RO"/>
        </w:rPr>
        <w:lastRenderedPageBreak/>
        <w:t>Anexa 8 Grila de verificare CAE</w:t>
      </w:r>
      <w:bookmarkEnd w:id="111"/>
    </w:p>
    <w:p>
      <w:pPr>
        <w:pStyle w:val="Heading2"/>
        <w:spacing w:before="0" w:line="240" w:lineRule="auto"/>
        <w:rPr>
          <w:rFonts w:ascii="Arial Narrow" w:hAnsi="Arial Narrow"/>
          <w:i/>
          <w:noProof/>
          <w:color w:val="auto"/>
          <w:lang w:val="ro-RO"/>
        </w:rPr>
      </w:pPr>
      <w:bookmarkStart w:id="112" w:name="_Toc41219189"/>
      <w:r>
        <w:rPr>
          <w:rFonts w:ascii="Arial Narrow" w:hAnsi="Arial Narrow"/>
          <w:i/>
          <w:noProof/>
          <w:color w:val="auto"/>
          <w:lang w:val="ro-RO"/>
        </w:rPr>
        <w:t>Grila de verificare a etapei CAE (verificarea conformității administrative și a criteriilor minime de eligibilitate)</w:t>
      </w:r>
      <w:bookmarkEnd w:id="112"/>
      <w:r>
        <w:rPr>
          <w:rFonts w:ascii="Arial Narrow" w:hAnsi="Arial Narrow"/>
          <w:i/>
          <w:noProof/>
          <w:color w:val="auto"/>
          <w:lang w:val="ro-RO"/>
        </w:rPr>
        <w:t xml:space="preserve"> </w:t>
      </w:r>
    </w:p>
    <w:tbl>
      <w:tblPr>
        <w:tblStyle w:val="TableGrid"/>
        <w:tblW w:w="0" w:type="auto"/>
        <w:jc w:val="center"/>
        <w:tblLook w:val="04A0" w:firstRow="1" w:lastRow="0" w:firstColumn="1" w:lastColumn="0" w:noHBand="0" w:noVBand="1"/>
      </w:tblPr>
      <w:tblGrid>
        <w:gridCol w:w="2380"/>
        <w:gridCol w:w="2946"/>
        <w:gridCol w:w="694"/>
        <w:gridCol w:w="694"/>
        <w:gridCol w:w="990"/>
        <w:gridCol w:w="1538"/>
      </w:tblGrid>
      <w:tr>
        <w:trPr>
          <w:jc w:val="center"/>
        </w:trPr>
        <w:tc>
          <w:tcPr>
            <w:tcW w:w="2380" w:type="dxa"/>
          </w:tcPr>
          <w:p>
            <w:pPr>
              <w:pStyle w:val="NoSpacing"/>
              <w:rPr>
                <w:rFonts w:ascii="Arial Narrow" w:hAnsi="Arial Narrow"/>
                <w:noProof/>
              </w:rPr>
            </w:pPr>
            <w:r>
              <w:rPr>
                <w:rFonts w:ascii="Arial Narrow" w:hAnsi="Arial Narrow"/>
                <w:noProof/>
              </w:rPr>
              <w:t>Numele solicitantului</w:t>
            </w:r>
          </w:p>
        </w:tc>
        <w:tc>
          <w:tcPr>
            <w:tcW w:w="6862" w:type="dxa"/>
            <w:gridSpan w:val="5"/>
          </w:tcPr>
          <w:p>
            <w:pPr>
              <w:pStyle w:val="NoSpacing"/>
              <w:rPr>
                <w:rFonts w:ascii="Arial Narrow" w:hAnsi="Arial Narrow"/>
                <w:noProof/>
                <w:sz w:val="28"/>
                <w:szCs w:val="28"/>
              </w:rPr>
            </w:pPr>
          </w:p>
        </w:tc>
      </w:tr>
      <w:tr>
        <w:trPr>
          <w:jc w:val="center"/>
        </w:trPr>
        <w:tc>
          <w:tcPr>
            <w:tcW w:w="2380" w:type="dxa"/>
          </w:tcPr>
          <w:p>
            <w:pPr>
              <w:pStyle w:val="NoSpacing"/>
              <w:rPr>
                <w:rFonts w:ascii="Arial Narrow" w:hAnsi="Arial Narrow"/>
                <w:noProof/>
              </w:rPr>
            </w:pPr>
            <w:r>
              <w:rPr>
                <w:rFonts w:ascii="Arial Narrow" w:hAnsi="Arial Narrow"/>
                <w:noProof/>
              </w:rPr>
              <w:t>Statutul legal</w:t>
            </w:r>
          </w:p>
        </w:tc>
        <w:tc>
          <w:tcPr>
            <w:tcW w:w="6862" w:type="dxa"/>
            <w:gridSpan w:val="5"/>
          </w:tcPr>
          <w:p>
            <w:pPr>
              <w:pStyle w:val="NoSpacing"/>
              <w:rPr>
                <w:rFonts w:ascii="Arial Narrow" w:hAnsi="Arial Narrow"/>
                <w:noProof/>
                <w:sz w:val="28"/>
                <w:szCs w:val="28"/>
              </w:rPr>
            </w:pPr>
          </w:p>
        </w:tc>
      </w:tr>
      <w:tr>
        <w:trPr>
          <w:jc w:val="center"/>
        </w:trPr>
        <w:tc>
          <w:tcPr>
            <w:tcW w:w="2380" w:type="dxa"/>
          </w:tcPr>
          <w:p>
            <w:pPr>
              <w:pStyle w:val="NoSpacing"/>
              <w:rPr>
                <w:rFonts w:ascii="Arial Narrow" w:hAnsi="Arial Narrow"/>
                <w:noProof/>
              </w:rPr>
            </w:pPr>
            <w:r>
              <w:rPr>
                <w:rFonts w:ascii="Arial Narrow" w:hAnsi="Arial Narrow"/>
                <w:noProof/>
              </w:rPr>
              <w:t>Data infiintarii</w:t>
            </w:r>
          </w:p>
        </w:tc>
        <w:tc>
          <w:tcPr>
            <w:tcW w:w="5324" w:type="dxa"/>
            <w:gridSpan w:val="4"/>
          </w:tcPr>
          <w:p>
            <w:pPr>
              <w:pStyle w:val="NoSpacing"/>
              <w:rPr>
                <w:rFonts w:ascii="Arial Narrow" w:hAnsi="Arial Narrow"/>
                <w:noProof/>
                <w:sz w:val="28"/>
                <w:szCs w:val="28"/>
              </w:rPr>
            </w:pPr>
          </w:p>
        </w:tc>
        <w:tc>
          <w:tcPr>
            <w:tcW w:w="1538" w:type="dxa"/>
          </w:tcPr>
          <w:p>
            <w:pPr>
              <w:pStyle w:val="NoSpacing"/>
              <w:rPr>
                <w:rFonts w:ascii="Arial Narrow" w:hAnsi="Arial Narrow"/>
                <w:noProof/>
                <w:sz w:val="28"/>
                <w:szCs w:val="28"/>
              </w:rPr>
            </w:pPr>
          </w:p>
        </w:tc>
      </w:tr>
      <w:tr>
        <w:trPr>
          <w:jc w:val="center"/>
        </w:trPr>
        <w:tc>
          <w:tcPr>
            <w:tcW w:w="2380" w:type="dxa"/>
          </w:tcPr>
          <w:p>
            <w:pPr>
              <w:pStyle w:val="NoSpacing"/>
              <w:rPr>
                <w:rFonts w:ascii="Arial Narrow" w:hAnsi="Arial Narrow"/>
                <w:noProof/>
              </w:rPr>
            </w:pPr>
            <w:r>
              <w:rPr>
                <w:rFonts w:ascii="Arial Narrow" w:hAnsi="Arial Narrow"/>
                <w:noProof/>
              </w:rPr>
              <w:t>Partener(i)</w:t>
            </w:r>
          </w:p>
        </w:tc>
        <w:tc>
          <w:tcPr>
            <w:tcW w:w="6862" w:type="dxa"/>
            <w:gridSpan w:val="5"/>
          </w:tcPr>
          <w:p>
            <w:pPr>
              <w:pStyle w:val="NoSpacing"/>
              <w:rPr>
                <w:rFonts w:ascii="Arial Narrow" w:hAnsi="Arial Narrow"/>
                <w:noProof/>
              </w:rPr>
            </w:pPr>
            <w:r>
              <w:rPr>
                <w:rFonts w:ascii="Arial Narrow" w:hAnsi="Arial Narrow"/>
                <w:noProof/>
              </w:rPr>
              <w:t>Denumirea partenerului(-ilor)</w:t>
            </w:r>
          </w:p>
          <w:p>
            <w:pPr>
              <w:pStyle w:val="NoSpacing"/>
              <w:rPr>
                <w:rFonts w:ascii="Arial Narrow" w:hAnsi="Arial Narrow"/>
                <w:noProof/>
                <w:sz w:val="28"/>
                <w:szCs w:val="28"/>
              </w:rPr>
            </w:pPr>
          </w:p>
        </w:tc>
      </w:tr>
      <w:tr>
        <w:trPr>
          <w:jc w:val="center"/>
        </w:trPr>
        <w:tc>
          <w:tcPr>
            <w:tcW w:w="2380" w:type="dxa"/>
          </w:tcPr>
          <w:p>
            <w:pPr>
              <w:pStyle w:val="NoSpacing"/>
              <w:rPr>
                <w:rFonts w:ascii="Arial Narrow" w:hAnsi="Arial Narrow"/>
                <w:noProof/>
              </w:rPr>
            </w:pPr>
            <w:r>
              <w:rPr>
                <w:rFonts w:ascii="Arial Narrow" w:hAnsi="Arial Narrow"/>
                <w:noProof/>
              </w:rPr>
              <w:t>Titlul propunerii</w:t>
            </w:r>
          </w:p>
        </w:tc>
        <w:tc>
          <w:tcPr>
            <w:tcW w:w="6862" w:type="dxa"/>
            <w:gridSpan w:val="5"/>
          </w:tcPr>
          <w:p>
            <w:pPr>
              <w:pStyle w:val="NoSpacing"/>
              <w:rPr>
                <w:rFonts w:ascii="Arial Narrow" w:hAnsi="Arial Narrow"/>
                <w:noProof/>
                <w:sz w:val="28"/>
                <w:szCs w:val="28"/>
              </w:rPr>
            </w:pPr>
          </w:p>
        </w:tc>
      </w:tr>
      <w:tr>
        <w:trPr>
          <w:jc w:val="center"/>
        </w:trPr>
        <w:tc>
          <w:tcPr>
            <w:tcW w:w="5326" w:type="dxa"/>
            <w:gridSpan w:val="2"/>
          </w:tcPr>
          <w:p>
            <w:pPr>
              <w:pStyle w:val="NoSpacing"/>
              <w:rPr>
                <w:rFonts w:ascii="Arial Narrow" w:hAnsi="Arial Narrow"/>
                <w:noProof/>
              </w:rPr>
            </w:pPr>
          </w:p>
        </w:tc>
        <w:tc>
          <w:tcPr>
            <w:tcW w:w="694" w:type="dxa"/>
          </w:tcPr>
          <w:p>
            <w:pPr>
              <w:pStyle w:val="NoSpacing"/>
              <w:rPr>
                <w:rFonts w:ascii="Arial Narrow" w:hAnsi="Arial Narrow"/>
                <w:noProof/>
              </w:rPr>
            </w:pPr>
            <w:r>
              <w:rPr>
                <w:rFonts w:ascii="Arial Narrow" w:hAnsi="Arial Narrow"/>
                <w:noProof/>
              </w:rPr>
              <w:t xml:space="preserve">Da </w:t>
            </w:r>
          </w:p>
        </w:tc>
        <w:tc>
          <w:tcPr>
            <w:tcW w:w="694" w:type="dxa"/>
          </w:tcPr>
          <w:p>
            <w:pPr>
              <w:pStyle w:val="NoSpacing"/>
              <w:rPr>
                <w:rFonts w:ascii="Arial Narrow" w:hAnsi="Arial Narrow"/>
                <w:noProof/>
              </w:rPr>
            </w:pPr>
            <w:r>
              <w:rPr>
                <w:rFonts w:ascii="Arial Narrow" w:hAnsi="Arial Narrow"/>
                <w:noProof/>
              </w:rPr>
              <w:t xml:space="preserve">Nu </w:t>
            </w:r>
          </w:p>
        </w:tc>
        <w:tc>
          <w:tcPr>
            <w:tcW w:w="990" w:type="dxa"/>
          </w:tcPr>
          <w:p>
            <w:pPr>
              <w:pStyle w:val="NoSpacing"/>
              <w:rPr>
                <w:rFonts w:ascii="Arial Narrow" w:hAnsi="Arial Narrow"/>
                <w:noProof/>
              </w:rPr>
            </w:pPr>
            <w:r>
              <w:rPr>
                <w:rFonts w:ascii="Arial Narrow" w:hAnsi="Arial Narrow"/>
                <w:noProof/>
              </w:rPr>
              <w:t>Nu este cazul</w:t>
            </w:r>
          </w:p>
        </w:tc>
        <w:tc>
          <w:tcPr>
            <w:tcW w:w="1538" w:type="dxa"/>
          </w:tcPr>
          <w:p>
            <w:pPr>
              <w:pStyle w:val="NoSpacing"/>
              <w:rPr>
                <w:rFonts w:ascii="Arial Narrow" w:hAnsi="Arial Narrow"/>
                <w:noProof/>
              </w:rPr>
            </w:pPr>
            <w:r>
              <w:rPr>
                <w:rFonts w:ascii="Arial Narrow" w:hAnsi="Arial Narrow"/>
                <w:noProof/>
              </w:rPr>
              <w:t xml:space="preserve">Observatii </w:t>
            </w: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Termenul limita de depunere a fost respectat</w:t>
            </w:r>
          </w:p>
          <w:p>
            <w:pPr>
              <w:pStyle w:val="NoSpacing"/>
              <w:ind w:left="720"/>
              <w:jc w:val="left"/>
              <w:rPr>
                <w:rFonts w:ascii="Arial Narrow" w:hAnsi="Arial Narrow"/>
                <w:noProof/>
              </w:rPr>
            </w:pP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 xml:space="preserve">Tip de fisa de proiect POR </w:t>
            </w:r>
          </w:p>
          <w:p>
            <w:pPr>
              <w:pStyle w:val="NoSpacing"/>
              <w:ind w:left="360"/>
              <w:jc w:val="left"/>
              <w:rPr>
                <w:rFonts w:ascii="Arial Narrow" w:hAnsi="Arial Narrow"/>
                <w:noProof/>
              </w:rPr>
            </w:pP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2.1 - Fișa de proiect respectă formatul solicitat conform prezentului ghid?</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2.2 - Fișa de proiect este semnată de către reprezentantul legal (și ștampilată, în cazul instituțiilor publice)?</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2.3 - Tipul de fișă de proiect - fișa de proiect se încadrează din punct de vedere al eligibilității în intervenția/ intervențiile din cadrul Strategiei de Dezvoltare Locală aprobată în categoria hard sau soft.</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Aria de implementare si obiectivul fisei de proiect</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3.1-Aria de implementare și obiectivul fișei de proiect - fișa de proiect se implementează în aria de acoperire a SDL și contribuie la atingerea obiectivelor SDL</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tabs>
                <w:tab w:val="left" w:pos="1155"/>
              </w:tabs>
              <w:jc w:val="left"/>
              <w:rPr>
                <w:rFonts w:ascii="Arial Narrow" w:hAnsi="Arial Narrow"/>
                <w:noProof/>
              </w:rPr>
            </w:pPr>
            <w:r>
              <w:rPr>
                <w:rFonts w:ascii="Arial Narrow" w:hAnsi="Arial Narrow"/>
                <w:noProof/>
              </w:rPr>
              <w:t>Durata de implementare a fisei de proiect</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tabs>
                <w:tab w:val="left" w:pos="1155"/>
              </w:tabs>
              <w:ind w:left="720"/>
              <w:jc w:val="left"/>
              <w:rPr>
                <w:rFonts w:ascii="Arial Narrow" w:hAnsi="Arial Narrow"/>
                <w:noProof/>
              </w:rPr>
            </w:pPr>
            <w:r>
              <w:rPr>
                <w:rFonts w:ascii="Arial Narrow" w:hAnsi="Arial Narrow"/>
                <w:noProof/>
              </w:rPr>
              <w:t>4.1 Durata de implementare a fișei de proiect - perioada de implementare a activităților din fișa de proiect nu depășește 31 decembrie 2023</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Activitatile eligibile</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jc w:val="left"/>
              <w:rPr>
                <w:rFonts w:ascii="Arial Narrow" w:hAnsi="Arial Narrow"/>
                <w:noProof/>
              </w:rPr>
            </w:pPr>
            <w:r>
              <w:rPr>
                <w:rFonts w:ascii="Arial Narrow" w:hAnsi="Arial Narrow"/>
                <w:noProof/>
              </w:rPr>
              <w:t>5.1 Tipuri de activități eligibile - activitățile menționate în fișa de proiect se încadrează în categoria activităților eligibile conform ghidului solicitantului POR</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Grupul tinta</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jc w:val="left"/>
              <w:rPr>
                <w:rFonts w:ascii="Arial Narrow" w:hAnsi="Arial Narrow"/>
                <w:noProof/>
              </w:rPr>
            </w:pPr>
            <w:r>
              <w:rPr>
                <w:rFonts w:ascii="Arial Narrow" w:hAnsi="Arial Narrow"/>
                <w:noProof/>
              </w:rPr>
              <w:t xml:space="preserve">6.1 Grupul țintă – categoriile de grup țintă menționate în </w:t>
            </w:r>
            <w:r>
              <w:rPr>
                <w:rFonts w:ascii="Arial Narrow" w:hAnsi="Arial Narrow"/>
                <w:noProof/>
              </w:rPr>
              <w:lastRenderedPageBreak/>
              <w:t>fișa de proiect se încadrează în categoriile de grup țintă eligibil conform ghidului solicitantului</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Indicatori</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jc w:val="left"/>
              <w:rPr>
                <w:rFonts w:ascii="Arial Narrow" w:hAnsi="Arial Narrow"/>
                <w:noProof/>
              </w:rPr>
            </w:pPr>
            <w:r>
              <w:rPr>
                <w:rFonts w:ascii="Arial Narrow" w:hAnsi="Arial Narrow"/>
                <w:noProof/>
              </w:rPr>
              <w:t xml:space="preserve"> 7.1Indicatori - fișa de proiect își asumă atingerea țintelor indicatorilor relevanți aferenți POR din cadrul SDL aprobată</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Solicitantul si partenerii (daca este cazul) eligibili, conform Orientarilor GAL</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8.1- Solicitantul face parte din categoria de beneficiari eligibili și îndeplinește  condițiile specifice stabilite în apelul de selecție?</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8.2 - Partenerul face parte din categoria de parteneri eligibili și îndeplinește condițiile specifice stabilite în apelul de selecție (dacă e cazul)?</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Asigurarea complementaritatii investitiilor soft si hard</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9.1 - Asigurarea complementarității investițiilor soft și hard – fișa de proiect prezintă modalitatea prin care se asigură complementaritatea între investițiile FEDR, în infrastructură și măsurile soft, de tip FSE, inclusiv prin intermediul finanțărilor din alte surse</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9.2- Tipuri de activități eligibile - activitățile menționate în fișa de proiect se încadrează în categoria activităților eligibile conform ghidului solicitantului POR</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Valoarea minima (daca este cazul) si maxima eligibila a fisei de proiect</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10.1- Valoarea minimă și maximă eligibilă a fișei de proiect – fișa de proiect se încadrează între cele două limite conform ghidului solicitantului</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Cheltuieli eligibile</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11.1- Cheltuieli eligibile - cheltuielile menționate în fișa de proiect se încadrează în categoriile de cheltuieli eligibile conform ghidului solicitantului</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Asigurarea contributiei proprii a solicitantului / partenerilor</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ind w:left="720"/>
              <w:jc w:val="left"/>
              <w:rPr>
                <w:rFonts w:ascii="Arial Narrow" w:hAnsi="Arial Narrow"/>
                <w:noProof/>
              </w:rPr>
            </w:pPr>
            <w:r>
              <w:rPr>
                <w:rFonts w:ascii="Arial Narrow" w:hAnsi="Arial Narrow"/>
                <w:noProof/>
              </w:rPr>
              <w:t>12.1- Sunt respectate prevederile Orientari/Ghidului privind asigurarea contribuției proprii a solicitantului/partenerilor, după caz</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noProof/>
              </w:rPr>
            </w:pPr>
            <w:r>
              <w:rPr>
                <w:rFonts w:ascii="Arial Narrow" w:hAnsi="Arial Narrow"/>
                <w:noProof/>
              </w:rPr>
              <w:t xml:space="preserve">Fiecare partener a completat si semnat un </w:t>
            </w:r>
            <w:r>
              <w:rPr>
                <w:rFonts w:ascii="Arial Narrow" w:hAnsi="Arial Narrow"/>
                <w:noProof/>
              </w:rPr>
              <w:lastRenderedPageBreak/>
              <w:t>acord/protocol de parteneriat (daca este cazul)</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numPr>
                <w:ilvl w:val="0"/>
                <w:numId w:val="50"/>
              </w:numPr>
              <w:jc w:val="left"/>
              <w:rPr>
                <w:rFonts w:ascii="Arial Narrow" w:hAnsi="Arial Narrow"/>
                <w:b/>
                <w:noProof/>
              </w:rPr>
            </w:pPr>
            <w:r>
              <w:rPr>
                <w:rFonts w:ascii="Arial Narrow" w:hAnsi="Arial Narrow"/>
                <w:b/>
                <w:noProof/>
              </w:rPr>
              <w:t>Bugetul este prezentat in formatul solicitat</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5326" w:type="dxa"/>
            <w:gridSpan w:val="2"/>
          </w:tcPr>
          <w:p>
            <w:pPr>
              <w:pStyle w:val="NoSpacing"/>
              <w:jc w:val="left"/>
              <w:rPr>
                <w:rFonts w:ascii="Arial Narrow" w:hAnsi="Arial Narrow"/>
                <w:noProof/>
              </w:rPr>
            </w:pPr>
            <w:r>
              <w:rPr>
                <w:rFonts w:ascii="Arial Narrow" w:hAnsi="Arial Narrow"/>
                <w:noProof/>
              </w:rPr>
              <w:t>14.1 -Existența și conformitatea documentelor justificative/anexele solicitate prin ghidul solicitantului (dacă e cazul)</w:t>
            </w:r>
          </w:p>
        </w:tc>
        <w:tc>
          <w:tcPr>
            <w:tcW w:w="694" w:type="dxa"/>
          </w:tcPr>
          <w:p>
            <w:pPr>
              <w:pStyle w:val="NoSpacing"/>
              <w:rPr>
                <w:rFonts w:ascii="Arial Narrow" w:hAnsi="Arial Narrow"/>
                <w:noProof/>
              </w:rPr>
            </w:pPr>
          </w:p>
        </w:tc>
        <w:tc>
          <w:tcPr>
            <w:tcW w:w="694" w:type="dxa"/>
          </w:tcPr>
          <w:p>
            <w:pPr>
              <w:pStyle w:val="NoSpacing"/>
              <w:rPr>
                <w:rFonts w:ascii="Arial Narrow" w:hAnsi="Arial Narrow"/>
                <w:noProof/>
              </w:rPr>
            </w:pPr>
          </w:p>
        </w:tc>
        <w:tc>
          <w:tcPr>
            <w:tcW w:w="990" w:type="dxa"/>
          </w:tcPr>
          <w:p>
            <w:pPr>
              <w:pStyle w:val="NoSpacing"/>
              <w:rPr>
                <w:rFonts w:ascii="Arial Narrow" w:hAnsi="Arial Narrow"/>
                <w:noProof/>
              </w:rPr>
            </w:pPr>
          </w:p>
        </w:tc>
        <w:tc>
          <w:tcPr>
            <w:tcW w:w="1538" w:type="dxa"/>
          </w:tcPr>
          <w:p>
            <w:pPr>
              <w:pStyle w:val="NoSpacing"/>
              <w:rPr>
                <w:rFonts w:ascii="Arial Narrow" w:hAnsi="Arial Narrow"/>
                <w:noProof/>
              </w:rPr>
            </w:pPr>
          </w:p>
        </w:tc>
      </w:tr>
      <w:tr>
        <w:trPr>
          <w:jc w:val="center"/>
        </w:trPr>
        <w:tc>
          <w:tcPr>
            <w:tcW w:w="9242" w:type="dxa"/>
            <w:gridSpan w:val="6"/>
          </w:tcPr>
          <w:p>
            <w:pPr>
              <w:pStyle w:val="NoSpacing"/>
              <w:jc w:val="center"/>
              <w:rPr>
                <w:rFonts w:ascii="Arial Narrow" w:hAnsi="Arial Narrow"/>
                <w:b/>
                <w:noProof/>
              </w:rPr>
            </w:pPr>
            <w:r>
              <w:rPr>
                <w:rFonts w:ascii="Arial Narrow" w:hAnsi="Arial Narrow"/>
                <w:b/>
                <w:noProof/>
              </w:rPr>
              <w:t>REZULTAT EVALUARE CONFORMITATE ADMINISTRATIVA</w:t>
            </w:r>
          </w:p>
        </w:tc>
      </w:tr>
      <w:tr>
        <w:trPr>
          <w:jc w:val="center"/>
        </w:trPr>
        <w:tc>
          <w:tcPr>
            <w:tcW w:w="5326" w:type="dxa"/>
            <w:gridSpan w:val="2"/>
          </w:tcPr>
          <w:p>
            <w:pPr>
              <w:pStyle w:val="NoSpacing"/>
              <w:jc w:val="center"/>
              <w:rPr>
                <w:rFonts w:ascii="Arial Narrow" w:hAnsi="Arial Narrow"/>
                <w:b/>
                <w:noProof/>
              </w:rPr>
            </w:pPr>
            <w:r>
              <w:rPr>
                <w:rFonts w:ascii="Arial Narrow" w:hAnsi="Arial Narrow"/>
                <w:b/>
                <w:noProof/>
              </w:rPr>
              <w:t>ADMIS</w:t>
            </w:r>
          </w:p>
        </w:tc>
        <w:tc>
          <w:tcPr>
            <w:tcW w:w="3916" w:type="dxa"/>
            <w:gridSpan w:val="4"/>
          </w:tcPr>
          <w:p>
            <w:pPr>
              <w:pStyle w:val="NoSpacing"/>
              <w:jc w:val="center"/>
              <w:rPr>
                <w:rFonts w:ascii="Arial Narrow" w:hAnsi="Arial Narrow"/>
                <w:b/>
                <w:noProof/>
              </w:rPr>
            </w:pPr>
            <w:r>
              <w:rPr>
                <w:rFonts w:ascii="Arial Narrow" w:hAnsi="Arial Narrow"/>
                <w:b/>
                <w:noProof/>
              </w:rPr>
              <w:t>RESPINS</w:t>
            </w:r>
          </w:p>
        </w:tc>
      </w:tr>
      <w:tr>
        <w:trPr>
          <w:jc w:val="center"/>
        </w:trPr>
        <w:tc>
          <w:tcPr>
            <w:tcW w:w="5326" w:type="dxa"/>
            <w:gridSpan w:val="2"/>
          </w:tcPr>
          <w:p>
            <w:pPr>
              <w:pStyle w:val="NoSpacing"/>
              <w:rPr>
                <w:rFonts w:ascii="Arial Narrow" w:hAnsi="Arial Narrow"/>
                <w:noProof/>
              </w:rPr>
            </w:pPr>
          </w:p>
        </w:tc>
        <w:tc>
          <w:tcPr>
            <w:tcW w:w="3916" w:type="dxa"/>
            <w:gridSpan w:val="4"/>
          </w:tcPr>
          <w:p>
            <w:pPr>
              <w:pStyle w:val="NoSpacing"/>
              <w:rPr>
                <w:rFonts w:ascii="Arial Narrow" w:hAnsi="Arial Narrow"/>
                <w:noProof/>
              </w:rPr>
            </w:pPr>
          </w:p>
        </w:tc>
      </w:tr>
    </w:tbl>
    <w:p>
      <w:pPr>
        <w:spacing w:after="0" w:line="240" w:lineRule="auto"/>
        <w:jc w:val="both"/>
        <w:rPr>
          <w:rFonts w:ascii="Arial Narrow" w:eastAsia="Times New Roman" w:hAnsi="Arial Narrow" w:cs="Calibri"/>
          <w:color w:val="000000"/>
          <w:lang w:val="ro-RO"/>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2328"/>
        <w:gridCol w:w="1343"/>
        <w:gridCol w:w="1732"/>
      </w:tblGrid>
      <w:tr>
        <w:trPr>
          <w:cantSplit/>
          <w:trHeight w:val="134"/>
          <w:jc w:val="center"/>
        </w:trPr>
        <w:tc>
          <w:tcPr>
            <w:tcW w:w="4115" w:type="dxa"/>
            <w:tcBorders>
              <w:bottom w:val="nil"/>
            </w:tcBorders>
          </w:tcPr>
          <w:p>
            <w:pPr>
              <w:pStyle w:val="Tableline"/>
              <w:spacing w:after="0"/>
              <w:rPr>
                <w:rFonts w:ascii="Arial Narrow" w:hAnsi="Arial Narrow"/>
                <w:sz w:val="24"/>
                <w:szCs w:val="24"/>
                <w:lang w:val="ro-RO"/>
              </w:rPr>
            </w:pPr>
          </w:p>
        </w:tc>
        <w:tc>
          <w:tcPr>
            <w:tcW w:w="2328"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Nume si prenume</w:t>
            </w:r>
          </w:p>
        </w:tc>
        <w:tc>
          <w:tcPr>
            <w:tcW w:w="1343"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Semnătura</w:t>
            </w:r>
          </w:p>
        </w:tc>
        <w:tc>
          <w:tcPr>
            <w:tcW w:w="1732"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Data</w:t>
            </w:r>
          </w:p>
        </w:tc>
      </w:tr>
      <w:tr>
        <w:trPr>
          <w:cantSplit/>
          <w:trHeight w:val="362"/>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Preşedintele Comitetului de selecţie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Secretar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51"/>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bl>
    <w:p>
      <w:pPr>
        <w:rPr>
          <w:rFonts w:ascii="Trebuchet MS" w:hAnsi="Trebuchet MS"/>
          <w:b/>
          <w:noProof/>
          <w:sz w:val="24"/>
          <w:szCs w:val="24"/>
          <w:lang w:val="ro-RO"/>
        </w:rPr>
      </w:pPr>
      <w:r>
        <w:rPr>
          <w:rFonts w:ascii="Trebuchet MS" w:hAnsi="Trebuchet MS"/>
          <w:b/>
          <w:noProof/>
          <w:sz w:val="24"/>
          <w:szCs w:val="24"/>
          <w:lang w:val="ro-RO"/>
        </w:rPr>
        <w:t>Nota.Pentru a fi admisa, fisa de proiect trebuie sa obtina - DA- la toate Criteriile  din grila CAE</w:t>
      </w:r>
      <w:bookmarkStart w:id="113" w:name="_Toc41298535"/>
    </w:p>
    <w:p>
      <w:pPr>
        <w:rPr>
          <w:rFonts w:ascii="Trebuchet MS" w:hAnsi="Trebuchet MS"/>
          <w:noProof/>
          <w:sz w:val="28"/>
          <w:szCs w:val="28"/>
          <w:lang w:val="ro-RO"/>
        </w:rPr>
      </w:pPr>
      <w:r>
        <w:rPr>
          <w:rFonts w:ascii="Trebuchet MS" w:eastAsia="Times New Roman" w:hAnsi="Trebuchet MS" w:cs="Arial"/>
          <w:sz w:val="24"/>
          <w:szCs w:val="28"/>
          <w:lang w:val="ro-RO"/>
        </w:rPr>
        <w:t xml:space="preserve">Anexa 9 </w:t>
      </w:r>
      <w:r>
        <w:rPr>
          <w:rFonts w:ascii="Trebuchet MS" w:eastAsia="Times New Roman" w:hAnsi="Trebuchet MS" w:cs="Calibri"/>
          <w:color w:val="000000"/>
          <w:lang w:val="ro-RO"/>
        </w:rPr>
        <w:t>Grila de verificare ETF</w:t>
      </w:r>
      <w:bookmarkEnd w:id="113"/>
    </w:p>
    <w:p>
      <w:pPr>
        <w:spacing w:line="240" w:lineRule="auto"/>
        <w:jc w:val="center"/>
        <w:rPr>
          <w:rFonts w:ascii="Trebuchet MS" w:hAnsi="Trebuchet MS"/>
          <w:b/>
          <w:lang w:val="ro-RO"/>
        </w:rPr>
      </w:pPr>
      <w:r>
        <w:rPr>
          <w:rFonts w:ascii="Trebuchet MS" w:hAnsi="Trebuchet MS"/>
          <w:b/>
          <w:lang w:val="ro-RO"/>
        </w:rPr>
        <w:t>GRILA DE VERIFICARE ETAPA TEHNICA ȘI FINANCIARA</w:t>
      </w:r>
    </w:p>
    <w:tbl>
      <w:tblPr>
        <w:tblStyle w:val="TableGrid"/>
        <w:tblW w:w="0" w:type="auto"/>
        <w:jc w:val="center"/>
        <w:tblLook w:val="04A0" w:firstRow="1" w:lastRow="0" w:firstColumn="1" w:lastColumn="0" w:noHBand="0" w:noVBand="1"/>
      </w:tblPr>
      <w:tblGrid>
        <w:gridCol w:w="684"/>
        <w:gridCol w:w="5018"/>
        <w:gridCol w:w="1220"/>
        <w:gridCol w:w="1220"/>
        <w:gridCol w:w="1100"/>
      </w:tblGrid>
      <w:tr>
        <w:trPr>
          <w:jc w:val="center"/>
        </w:trPr>
        <w:tc>
          <w:tcPr>
            <w:tcW w:w="684" w:type="dxa"/>
            <w:shd w:val="clear" w:color="auto" w:fill="E5DFEC" w:themeFill="accent4" w:themeFillTint="33"/>
          </w:tcPr>
          <w:p>
            <w:pPr>
              <w:jc w:val="center"/>
              <w:rPr>
                <w:rFonts w:ascii="Trebuchet MS" w:hAnsi="Trebuchet MS"/>
                <w:b/>
                <w:lang w:val="ro-RO"/>
              </w:rPr>
            </w:pPr>
            <w:r>
              <w:rPr>
                <w:rFonts w:ascii="Trebuchet MS" w:hAnsi="Trebuchet MS"/>
                <w:b/>
                <w:lang w:val="ro-RO"/>
              </w:rPr>
              <w:t>Nr. Crt.</w:t>
            </w:r>
          </w:p>
        </w:tc>
        <w:tc>
          <w:tcPr>
            <w:tcW w:w="5018" w:type="dxa"/>
            <w:shd w:val="clear" w:color="auto" w:fill="E5DFEC" w:themeFill="accent4" w:themeFillTint="33"/>
          </w:tcPr>
          <w:p>
            <w:pPr>
              <w:jc w:val="center"/>
              <w:rPr>
                <w:rFonts w:ascii="Trebuchet MS" w:hAnsi="Trebuchet MS"/>
                <w:b/>
                <w:lang w:val="ro-RO"/>
              </w:rPr>
            </w:pPr>
            <w:r>
              <w:rPr>
                <w:rFonts w:ascii="Trebuchet MS" w:hAnsi="Trebuchet MS"/>
                <w:b/>
                <w:lang w:val="ro-RO"/>
              </w:rPr>
              <w:t>Criterii de selecție</w:t>
            </w:r>
          </w:p>
        </w:tc>
        <w:tc>
          <w:tcPr>
            <w:tcW w:w="1220" w:type="dxa"/>
            <w:shd w:val="clear" w:color="auto" w:fill="E5DFEC" w:themeFill="accent4" w:themeFillTint="33"/>
          </w:tcPr>
          <w:p>
            <w:pPr>
              <w:jc w:val="center"/>
              <w:rPr>
                <w:rFonts w:ascii="Trebuchet MS" w:hAnsi="Trebuchet MS"/>
                <w:b/>
                <w:lang w:val="ro-RO"/>
              </w:rPr>
            </w:pPr>
            <w:r>
              <w:rPr>
                <w:rFonts w:ascii="Trebuchet MS" w:hAnsi="Trebuchet MS"/>
                <w:b/>
                <w:lang w:val="ro-RO"/>
              </w:rPr>
              <w:t>Punctaj maxim</w:t>
            </w:r>
          </w:p>
        </w:tc>
        <w:tc>
          <w:tcPr>
            <w:tcW w:w="1220" w:type="dxa"/>
            <w:shd w:val="clear" w:color="auto" w:fill="E5DFEC" w:themeFill="accent4" w:themeFillTint="33"/>
          </w:tcPr>
          <w:p>
            <w:pPr>
              <w:jc w:val="center"/>
              <w:rPr>
                <w:rFonts w:ascii="Trebuchet MS" w:hAnsi="Trebuchet MS"/>
                <w:b/>
                <w:lang w:val="ro-RO"/>
              </w:rPr>
            </w:pPr>
            <w:r>
              <w:rPr>
                <w:rFonts w:ascii="Trebuchet MS" w:hAnsi="Trebuchet MS"/>
                <w:b/>
                <w:lang w:val="ro-RO"/>
              </w:rPr>
              <w:t>Punctaj minim</w:t>
            </w:r>
          </w:p>
        </w:tc>
        <w:tc>
          <w:tcPr>
            <w:tcW w:w="1100" w:type="dxa"/>
            <w:shd w:val="clear" w:color="auto" w:fill="E5DFEC" w:themeFill="accent4" w:themeFillTint="33"/>
          </w:tcPr>
          <w:p>
            <w:pPr>
              <w:jc w:val="center"/>
              <w:rPr>
                <w:rFonts w:ascii="Trebuchet MS" w:hAnsi="Trebuchet MS"/>
                <w:b/>
                <w:lang w:val="ro-RO"/>
              </w:rPr>
            </w:pPr>
            <w:r>
              <w:rPr>
                <w:rFonts w:ascii="Trebuchet MS" w:hAnsi="Trebuchet MS"/>
                <w:b/>
                <w:lang w:val="ro-RO"/>
              </w:rPr>
              <w:t>Punctaj acordat</w:t>
            </w: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I.</w:t>
            </w:r>
          </w:p>
        </w:tc>
        <w:tc>
          <w:tcPr>
            <w:tcW w:w="5018" w:type="dxa"/>
            <w:shd w:val="clear" w:color="auto" w:fill="8DB3E2" w:themeFill="text2" w:themeFillTint="66"/>
          </w:tcPr>
          <w:p>
            <w:pPr>
              <w:jc w:val="center"/>
              <w:rPr>
                <w:rFonts w:ascii="Trebuchet MS" w:hAnsi="Trebuchet MS"/>
                <w:b/>
                <w:lang w:val="ro-RO"/>
              </w:rPr>
            </w:pPr>
            <w:r>
              <w:rPr>
                <w:rFonts w:ascii="Trebuchet MS" w:hAnsi="Trebuchet MS"/>
                <w:b/>
                <w:lang w:val="ro-RO" w:eastAsia="ro-RO"/>
              </w:rPr>
              <w:t>RELEVANȚĂ</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45</w:t>
            </w:r>
          </w:p>
        </w:tc>
        <w:tc>
          <w:tcPr>
            <w:tcW w:w="1220" w:type="dxa"/>
            <w:shd w:val="clear" w:color="auto" w:fill="8DB3E2" w:themeFill="text2" w:themeFillTint="66"/>
          </w:tcPr>
          <w:p>
            <w:pPr>
              <w:jc w:val="center"/>
              <w:rPr>
                <w:rFonts w:ascii="Trebuchet MS" w:hAnsi="Trebuchet MS"/>
                <w:b/>
                <w:lang w:val="ro-RO"/>
              </w:rPr>
            </w:pPr>
          </w:p>
        </w:tc>
        <w:tc>
          <w:tcPr>
            <w:tcW w:w="1100" w:type="dxa"/>
            <w:shd w:val="clear" w:color="auto" w:fill="8DB3E2" w:themeFill="text2" w:themeFillTint="66"/>
          </w:tcPr>
          <w:p>
            <w:pPr>
              <w:jc w:val="center"/>
              <w:rPr>
                <w:rFonts w:ascii="Trebuchet MS" w:hAnsi="Trebuchet MS"/>
                <w:b/>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1.1</w:t>
            </w:r>
          </w:p>
        </w:tc>
        <w:tc>
          <w:tcPr>
            <w:tcW w:w="5018" w:type="dxa"/>
          </w:tcPr>
          <w:p>
            <w:pPr>
              <w:jc w:val="center"/>
              <w:rPr>
                <w:rFonts w:ascii="Trebuchet MS" w:hAnsi="Trebuchet MS"/>
                <w:b/>
                <w:lang w:val="ro-RO"/>
              </w:rPr>
            </w:pPr>
            <w:r>
              <w:rPr>
                <w:rFonts w:ascii="Trebuchet MS" w:hAnsi="Trebuchet MS"/>
                <w:lang w:val="ro-RO" w:eastAsia="ro-RO"/>
              </w:rPr>
              <w:t>Contribuția proiectului la atingerea obiectivelor specifice SDL</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trHeight w:val="809"/>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Beneficiarul descrie contribuția proiectului la atingerea obiectivelor specifice SDL-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Beneficiarul enumera elementele ce conduc contribuția proiectului la atingerea obiectivelor specifice SDL -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1.2.</w:t>
            </w:r>
          </w:p>
        </w:tc>
        <w:tc>
          <w:tcPr>
            <w:tcW w:w="5018" w:type="dxa"/>
          </w:tcPr>
          <w:p>
            <w:pPr>
              <w:jc w:val="center"/>
              <w:rPr>
                <w:rFonts w:ascii="Trebuchet MS" w:hAnsi="Trebuchet MS"/>
                <w:b/>
                <w:lang w:val="ro-RO"/>
              </w:rPr>
            </w:pPr>
            <w:r>
              <w:rPr>
                <w:rFonts w:ascii="Trebuchet MS" w:hAnsi="Trebuchet MS"/>
                <w:lang w:val="ro-RO" w:eastAsia="ro-RO"/>
              </w:rPr>
              <w:t xml:space="preserve"> Contribuția proiectului la atingerea țintelor indicatorilor specifici ai SDL</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Beneficiarul descrie in Fisa de Proiect contribuția proiectului la atingerea țintelor indicatorilor specifici ai SDL -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Beneficiarul enumera in Fisa de Proiect contribuția proiectului la atingerea țintelor indicatorilor specifici ai SDL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lastRenderedPageBreak/>
              <w:t>1.3.</w:t>
            </w:r>
          </w:p>
        </w:tc>
        <w:tc>
          <w:tcPr>
            <w:tcW w:w="5018" w:type="dxa"/>
          </w:tcPr>
          <w:p>
            <w:pPr>
              <w:jc w:val="both"/>
              <w:rPr>
                <w:rFonts w:ascii="Trebuchet MS" w:hAnsi="Trebuchet MS"/>
                <w:b/>
                <w:lang w:val="ro-RO"/>
              </w:rPr>
            </w:pPr>
            <w:r>
              <w:rPr>
                <w:rFonts w:ascii="Trebuchet MS" w:hAnsi="Trebuchet MS"/>
                <w:lang w:val="ro-RO" w:eastAsia="ro-RO"/>
              </w:rPr>
              <w:t>Fișa de proiect FSE/FEDR este complementară cu o fișă de proiect FEDR/FSE</w:t>
            </w:r>
          </w:p>
        </w:tc>
        <w:tc>
          <w:tcPr>
            <w:tcW w:w="1220" w:type="dxa"/>
          </w:tcPr>
          <w:p>
            <w:pPr>
              <w:jc w:val="center"/>
              <w:rPr>
                <w:rFonts w:ascii="Trebuchet MS" w:hAnsi="Trebuchet MS"/>
                <w:lang w:val="ro-RO"/>
              </w:rPr>
            </w:pPr>
            <w:r>
              <w:rPr>
                <w:rFonts w:ascii="Trebuchet MS" w:hAnsi="Trebuchet MS"/>
                <w:lang w:val="ro-RO"/>
              </w:rPr>
              <w:t>7</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1.4.</w:t>
            </w:r>
          </w:p>
        </w:tc>
        <w:tc>
          <w:tcPr>
            <w:tcW w:w="5018" w:type="dxa"/>
          </w:tcPr>
          <w:p>
            <w:pPr>
              <w:jc w:val="both"/>
              <w:rPr>
                <w:rFonts w:ascii="Trebuchet MS" w:hAnsi="Trebuchet MS"/>
                <w:b/>
                <w:lang w:val="ro-RO"/>
              </w:rPr>
            </w:pPr>
            <w:r>
              <w:rPr>
                <w:rFonts w:ascii="Trebuchet MS" w:hAnsi="Trebuchet MS"/>
                <w:lang w:val="ro-RO" w:eastAsia="ro-RO"/>
              </w:rPr>
              <w:t>Grupul țintă este definit clar și cuantificat în relație cu țintelor indicatorilor specifici ai SDL</w:t>
            </w:r>
          </w:p>
        </w:tc>
        <w:tc>
          <w:tcPr>
            <w:tcW w:w="1220" w:type="dxa"/>
          </w:tcPr>
          <w:p>
            <w:pPr>
              <w:jc w:val="center"/>
              <w:rPr>
                <w:rFonts w:ascii="Trebuchet MS" w:hAnsi="Trebuchet MS"/>
                <w:lang w:val="ro-RO"/>
              </w:rPr>
            </w:pPr>
            <w:r>
              <w:rPr>
                <w:rFonts w:ascii="Trebuchet MS" w:hAnsi="Trebuchet MS"/>
                <w:lang w:val="ro-RO"/>
              </w:rPr>
              <w:t>6</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1.5.</w:t>
            </w:r>
          </w:p>
        </w:tc>
        <w:tc>
          <w:tcPr>
            <w:tcW w:w="5018" w:type="dxa"/>
          </w:tcPr>
          <w:p>
            <w:pPr>
              <w:jc w:val="both"/>
              <w:rPr>
                <w:rFonts w:ascii="Trebuchet MS" w:hAnsi="Trebuchet MS"/>
                <w:lang w:val="ro-RO" w:eastAsia="ro-RO"/>
              </w:rPr>
            </w:pPr>
            <w:r>
              <w:rPr>
                <w:rFonts w:ascii="Trebuchet MS" w:hAnsi="Trebuchet MS"/>
                <w:lang w:val="ro-RO" w:eastAsia="ro-RO"/>
              </w:rPr>
              <w:t>Fișa de proiect vizează un număr cât mai mare persoane aflate în risc de sărăcie</w:t>
            </w:r>
          </w:p>
        </w:tc>
        <w:tc>
          <w:tcPr>
            <w:tcW w:w="1220" w:type="dxa"/>
          </w:tcPr>
          <w:p>
            <w:pPr>
              <w:jc w:val="center"/>
              <w:rPr>
                <w:rFonts w:ascii="Trebuchet MS" w:hAnsi="Trebuchet MS"/>
                <w:lang w:val="ro-RO"/>
              </w:rPr>
            </w:pPr>
            <w:r>
              <w:rPr>
                <w:rFonts w:ascii="Trebuchet MS" w:hAnsi="Trebuchet MS"/>
                <w:lang w:val="ro-RO"/>
              </w:rPr>
              <w:t>6</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1.6.</w:t>
            </w:r>
          </w:p>
        </w:tc>
        <w:tc>
          <w:tcPr>
            <w:tcW w:w="5018" w:type="dxa"/>
          </w:tcPr>
          <w:p>
            <w:pPr>
              <w:jc w:val="both"/>
              <w:rPr>
                <w:rFonts w:ascii="Trebuchet MS" w:hAnsi="Trebuchet MS"/>
                <w:lang w:val="ro-RO" w:eastAsia="ro-RO"/>
              </w:rPr>
            </w:pPr>
            <w:r>
              <w:rPr>
                <w:rFonts w:ascii="Trebuchet MS" w:hAnsi="Trebuchet MS"/>
                <w:lang w:val="ro-RO" w:eastAsia="ro-RO"/>
              </w:rPr>
              <w:t>Este dovedită capacitatea organizatorică și funcțională a solicitantului fișei de proiect (experiență în domeniul administrării de proiecte similare, capacitatea resurselor umane de a desfășura activitățile propuse în fișa de proiect etc.)</w:t>
            </w:r>
          </w:p>
        </w:tc>
        <w:tc>
          <w:tcPr>
            <w:tcW w:w="1220" w:type="dxa"/>
          </w:tcPr>
          <w:p>
            <w:pPr>
              <w:jc w:val="center"/>
              <w:rPr>
                <w:rFonts w:ascii="Trebuchet MS" w:hAnsi="Trebuchet MS"/>
                <w:lang w:val="ro-RO"/>
              </w:rPr>
            </w:pPr>
            <w:r>
              <w:rPr>
                <w:rFonts w:ascii="Trebuchet MS" w:hAnsi="Trebuchet MS"/>
                <w:lang w:val="ro-RO"/>
              </w:rPr>
              <w:t>6</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II.</w:t>
            </w:r>
          </w:p>
        </w:tc>
        <w:tc>
          <w:tcPr>
            <w:tcW w:w="5018" w:type="dxa"/>
            <w:shd w:val="clear" w:color="auto" w:fill="8DB3E2" w:themeFill="text2" w:themeFillTint="66"/>
          </w:tcPr>
          <w:p>
            <w:pPr>
              <w:jc w:val="center"/>
              <w:rPr>
                <w:rFonts w:ascii="Trebuchet MS" w:hAnsi="Trebuchet MS"/>
                <w:b/>
                <w:lang w:val="ro-RO" w:eastAsia="ro-RO"/>
              </w:rPr>
            </w:pPr>
            <w:r>
              <w:rPr>
                <w:rFonts w:ascii="Trebuchet MS" w:hAnsi="Trebuchet MS"/>
                <w:b/>
                <w:lang w:val="ro-RO" w:eastAsia="ro-RO"/>
              </w:rPr>
              <w:t>EFICACITATE</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45</w:t>
            </w:r>
          </w:p>
        </w:tc>
        <w:tc>
          <w:tcPr>
            <w:tcW w:w="1220" w:type="dxa"/>
            <w:shd w:val="clear" w:color="auto" w:fill="8DB3E2" w:themeFill="text2" w:themeFillTint="66"/>
          </w:tcPr>
          <w:p>
            <w:pPr>
              <w:jc w:val="center"/>
              <w:rPr>
                <w:rFonts w:ascii="Trebuchet MS" w:hAnsi="Trebuchet MS"/>
                <w:b/>
                <w:lang w:val="ro-RO"/>
              </w:rPr>
            </w:pPr>
          </w:p>
        </w:tc>
        <w:tc>
          <w:tcPr>
            <w:tcW w:w="1100" w:type="dxa"/>
            <w:shd w:val="clear" w:color="auto" w:fill="8DB3E2" w:themeFill="text2" w:themeFillTint="66"/>
          </w:tcPr>
          <w:p>
            <w:pPr>
              <w:jc w:val="center"/>
              <w:rPr>
                <w:rFonts w:ascii="Trebuchet MS" w:hAnsi="Trebuchet MS"/>
                <w:b/>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2.1.</w:t>
            </w:r>
          </w:p>
        </w:tc>
        <w:tc>
          <w:tcPr>
            <w:tcW w:w="5018" w:type="dxa"/>
          </w:tcPr>
          <w:p>
            <w:pPr>
              <w:jc w:val="both"/>
              <w:rPr>
                <w:rFonts w:ascii="Trebuchet MS" w:hAnsi="Trebuchet MS"/>
                <w:lang w:val="ro-RO" w:eastAsia="ro-RO"/>
              </w:rPr>
            </w:pPr>
            <w:r>
              <w:rPr>
                <w:rFonts w:ascii="Trebuchet MS" w:hAnsi="Trebuchet MS"/>
                <w:lang w:val="ro-RO" w:eastAsia="ro-RO"/>
              </w:rPr>
              <w:t>Activitățile în fișa de proiect sunt descrise concret, detaliat și concis și au capacitatea de a contribui în mod direct la îndeplinirea obiectivelor SDL</w:t>
            </w:r>
          </w:p>
        </w:tc>
        <w:tc>
          <w:tcPr>
            <w:tcW w:w="1220" w:type="dxa"/>
          </w:tcPr>
          <w:p>
            <w:pPr>
              <w:jc w:val="center"/>
              <w:rPr>
                <w:rFonts w:ascii="Trebuchet MS" w:hAnsi="Trebuchet MS"/>
                <w:lang w:val="ro-RO"/>
              </w:rPr>
            </w:pPr>
            <w:r>
              <w:rPr>
                <w:rFonts w:ascii="Trebuchet MS" w:hAnsi="Trebuchet MS"/>
                <w:lang w:val="ro-RO"/>
              </w:rPr>
              <w:t>15</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Activitățile în fișa de proiect sunt descrise concret, detaliat și concis și au capacitatea de a contribui în mod direct la îndeplinirea obiectivelor SDL - se acorda 15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Activitățile în fișa de proiect sunt enumerate și au capacitatea de a contribui în mod direct la îndeplinirea obiectivelor SDL -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2.2.</w:t>
            </w:r>
          </w:p>
        </w:tc>
        <w:tc>
          <w:tcPr>
            <w:tcW w:w="5018" w:type="dxa"/>
          </w:tcPr>
          <w:p>
            <w:pPr>
              <w:jc w:val="center"/>
              <w:rPr>
                <w:rFonts w:ascii="Trebuchet MS" w:hAnsi="Trebuchet MS"/>
                <w:lang w:val="ro-RO" w:eastAsia="ro-RO"/>
              </w:rPr>
            </w:pPr>
            <w:r>
              <w:rPr>
                <w:rFonts w:ascii="Trebuchet MS" w:hAnsi="Trebuchet MS"/>
                <w:lang w:val="ro-RO" w:eastAsia="ro-RO"/>
              </w:rPr>
              <w:t>Fișa de proiect prezintă valoare adăugată (soluții inovatoare, modele de bună practică, continuarea unor tradiții etc.):</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Fișa de proiect prezintă valoare adăugată (soluții inovatoare, modele de bună practică) -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Fișa de proiect prezintă valoare adăugată ( modele de bună practică)- se acorda 5 puncte</w:t>
            </w:r>
          </w:p>
        </w:tc>
        <w:tc>
          <w:tcPr>
            <w:tcW w:w="1220" w:type="dxa"/>
          </w:tcPr>
          <w:p>
            <w:pP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2.3.</w:t>
            </w:r>
          </w:p>
        </w:tc>
        <w:tc>
          <w:tcPr>
            <w:tcW w:w="5018" w:type="dxa"/>
          </w:tcPr>
          <w:p>
            <w:pPr>
              <w:jc w:val="center"/>
              <w:rPr>
                <w:rFonts w:ascii="Trebuchet MS" w:hAnsi="Trebuchet MS"/>
                <w:lang w:val="ro-RO" w:eastAsia="ro-RO"/>
              </w:rPr>
            </w:pPr>
            <w:r>
              <w:rPr>
                <w:rFonts w:ascii="Trebuchet MS" w:hAnsi="Trebuchet MS"/>
                <w:lang w:val="ro-RO" w:eastAsia="ro-RO"/>
              </w:rPr>
              <w:t>Obiectivele din FP sunt SMART și sunt corelate cu obiectivele SDL:</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Obiectivele din FP sunt SMART și sunt corelate cu obiectivele SDL-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Obiectivele din FP  sunt corelate cu obiectivele SDL -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2.4.</w:t>
            </w:r>
          </w:p>
        </w:tc>
        <w:tc>
          <w:tcPr>
            <w:tcW w:w="5018" w:type="dxa"/>
          </w:tcPr>
          <w:p>
            <w:pPr>
              <w:jc w:val="center"/>
              <w:rPr>
                <w:rFonts w:ascii="Trebuchet MS" w:hAnsi="Trebuchet MS"/>
                <w:lang w:val="ro-RO" w:eastAsia="ro-RO"/>
              </w:rPr>
            </w:pPr>
            <w:r>
              <w:rPr>
                <w:rFonts w:ascii="Trebuchet MS" w:hAnsi="Trebuchet MS"/>
                <w:lang w:val="ro-RO" w:eastAsia="ro-RO"/>
              </w:rPr>
              <w:t>Există un raport rezonabil între rezultatele așteptate și costurile angajate</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III.</w:t>
            </w:r>
          </w:p>
        </w:tc>
        <w:tc>
          <w:tcPr>
            <w:tcW w:w="5018" w:type="dxa"/>
            <w:shd w:val="clear" w:color="auto" w:fill="8DB3E2" w:themeFill="text2" w:themeFillTint="66"/>
          </w:tcPr>
          <w:p>
            <w:pPr>
              <w:jc w:val="center"/>
              <w:rPr>
                <w:rFonts w:ascii="Trebuchet MS" w:hAnsi="Trebuchet MS"/>
                <w:b/>
                <w:lang w:val="ro-RO" w:eastAsia="ro-RO"/>
              </w:rPr>
            </w:pPr>
            <w:r>
              <w:rPr>
                <w:rFonts w:ascii="Trebuchet MS" w:hAnsi="Trebuchet MS"/>
                <w:b/>
                <w:lang w:val="ro-RO" w:eastAsia="ro-RO"/>
              </w:rPr>
              <w:t>SUSTENABILITATE</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10</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5</w:t>
            </w:r>
          </w:p>
        </w:tc>
        <w:tc>
          <w:tcPr>
            <w:tcW w:w="1100" w:type="dxa"/>
            <w:shd w:val="clear" w:color="auto" w:fill="8DB3E2" w:themeFill="text2" w:themeFillTint="66"/>
          </w:tcPr>
          <w:p>
            <w:pPr>
              <w:jc w:val="center"/>
              <w:rPr>
                <w:rFonts w:ascii="Trebuchet MS" w:hAnsi="Trebuchet MS"/>
                <w:b/>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3.1.</w:t>
            </w:r>
          </w:p>
        </w:tc>
        <w:tc>
          <w:tcPr>
            <w:tcW w:w="5018" w:type="dxa"/>
            <w:shd w:val="clear" w:color="auto" w:fill="8DB3E2" w:themeFill="text2" w:themeFillTint="66"/>
          </w:tcPr>
          <w:p>
            <w:pPr>
              <w:jc w:val="center"/>
              <w:rPr>
                <w:rFonts w:ascii="Trebuchet MS" w:hAnsi="Trebuchet MS"/>
                <w:b/>
                <w:lang w:val="ro-RO" w:eastAsia="ro-RO"/>
              </w:rPr>
            </w:pPr>
            <w:r>
              <w:rPr>
                <w:rFonts w:ascii="Trebuchet MS" w:hAnsi="Trebuchet MS"/>
                <w:lang w:val="ro-RO" w:eastAsia="ro-RO"/>
              </w:rPr>
              <w:t>În ce măsură este asigurată sustenabilitatea după finalizarea activităților prevăzute în FP</w:t>
            </w:r>
          </w:p>
        </w:tc>
        <w:tc>
          <w:tcPr>
            <w:tcW w:w="1220" w:type="dxa"/>
            <w:shd w:val="clear" w:color="auto" w:fill="8DB3E2" w:themeFill="text2" w:themeFillTint="66"/>
          </w:tcPr>
          <w:p>
            <w:pPr>
              <w:jc w:val="center"/>
              <w:rPr>
                <w:rFonts w:ascii="Trebuchet MS" w:hAnsi="Trebuchet MS"/>
                <w:lang w:val="ro-RO"/>
              </w:rPr>
            </w:pPr>
            <w:r>
              <w:rPr>
                <w:rFonts w:ascii="Trebuchet MS" w:hAnsi="Trebuchet MS"/>
                <w:lang w:val="ro-RO"/>
              </w:rPr>
              <w:t>10</w:t>
            </w:r>
          </w:p>
        </w:tc>
        <w:tc>
          <w:tcPr>
            <w:tcW w:w="1220" w:type="dxa"/>
            <w:shd w:val="clear" w:color="auto" w:fill="8DB3E2" w:themeFill="text2" w:themeFillTint="66"/>
          </w:tcPr>
          <w:p>
            <w:pPr>
              <w:jc w:val="center"/>
              <w:rPr>
                <w:rFonts w:ascii="Trebuchet MS" w:hAnsi="Trebuchet MS"/>
                <w:lang w:val="ro-RO"/>
              </w:rPr>
            </w:pPr>
            <w:r>
              <w:rPr>
                <w:rFonts w:ascii="Trebuchet MS" w:hAnsi="Trebuchet MS"/>
                <w:lang w:val="ro-RO"/>
              </w:rPr>
              <w:t>5</w:t>
            </w:r>
          </w:p>
        </w:tc>
        <w:tc>
          <w:tcPr>
            <w:tcW w:w="1100" w:type="dxa"/>
            <w:shd w:val="clear" w:color="auto" w:fill="8DB3E2" w:themeFill="text2" w:themeFillTint="66"/>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a</w:t>
            </w:r>
          </w:p>
        </w:tc>
        <w:tc>
          <w:tcPr>
            <w:tcW w:w="5018" w:type="dxa"/>
            <w:shd w:val="clear" w:color="auto" w:fill="8DB3E2" w:themeFill="text2" w:themeFillTint="66"/>
          </w:tcPr>
          <w:p>
            <w:pPr>
              <w:jc w:val="center"/>
              <w:rPr>
                <w:rFonts w:ascii="Trebuchet MS" w:hAnsi="Trebuchet MS"/>
                <w:lang w:val="ro-RO" w:eastAsia="ro-RO"/>
              </w:rPr>
            </w:pPr>
            <w:r>
              <w:rPr>
                <w:rFonts w:ascii="Trebuchet MS" w:hAnsi="Trebuchet MS"/>
                <w:lang w:val="ro-RO" w:eastAsia="ro-RO"/>
              </w:rPr>
              <w:t xml:space="preserve">Beneficiarul descrie modalitatea de asigurare a </w:t>
            </w:r>
            <w:r>
              <w:rPr>
                <w:rFonts w:ascii="Trebuchet MS" w:hAnsi="Trebuchet MS"/>
                <w:lang w:val="ro-RO" w:eastAsia="ro-RO"/>
              </w:rPr>
              <w:lastRenderedPageBreak/>
              <w:t>sustenabilitatii, raportata in ani, conform fisei de proiect-10 puncte</w:t>
            </w:r>
          </w:p>
        </w:tc>
        <w:tc>
          <w:tcPr>
            <w:tcW w:w="1220" w:type="dxa"/>
            <w:shd w:val="clear" w:color="auto" w:fill="8DB3E2" w:themeFill="text2" w:themeFillTint="66"/>
          </w:tcPr>
          <w:p>
            <w:pPr>
              <w:jc w:val="center"/>
              <w:rPr>
                <w:rFonts w:ascii="Trebuchet MS" w:hAnsi="Trebuchet MS"/>
                <w:lang w:val="ro-RO"/>
              </w:rPr>
            </w:pPr>
          </w:p>
        </w:tc>
        <w:tc>
          <w:tcPr>
            <w:tcW w:w="1220" w:type="dxa"/>
            <w:shd w:val="clear" w:color="auto" w:fill="8DB3E2" w:themeFill="text2" w:themeFillTint="66"/>
          </w:tcPr>
          <w:p>
            <w:pPr>
              <w:jc w:val="center"/>
              <w:rPr>
                <w:rFonts w:ascii="Trebuchet MS" w:hAnsi="Trebuchet MS"/>
                <w:lang w:val="ro-RO"/>
              </w:rPr>
            </w:pPr>
          </w:p>
        </w:tc>
        <w:tc>
          <w:tcPr>
            <w:tcW w:w="1100" w:type="dxa"/>
            <w:shd w:val="clear" w:color="auto" w:fill="8DB3E2" w:themeFill="text2" w:themeFillTint="66"/>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b</w:t>
            </w:r>
          </w:p>
        </w:tc>
        <w:tc>
          <w:tcPr>
            <w:tcW w:w="5018" w:type="dxa"/>
            <w:shd w:val="clear" w:color="auto" w:fill="8DB3E2" w:themeFill="text2" w:themeFillTint="66"/>
          </w:tcPr>
          <w:p>
            <w:pPr>
              <w:jc w:val="center"/>
              <w:rPr>
                <w:rFonts w:ascii="Trebuchet MS" w:hAnsi="Trebuchet MS"/>
                <w:lang w:val="ro-RO" w:eastAsia="ro-RO"/>
              </w:rPr>
            </w:pPr>
            <w:r>
              <w:rPr>
                <w:rFonts w:ascii="Trebuchet MS" w:hAnsi="Trebuchet MS"/>
                <w:lang w:val="ro-RO" w:eastAsia="ro-RO"/>
              </w:rPr>
              <w:t>Beneficiarul specifica asigurarea sustenabilitatii fara a face referire concreta la numarul de ani - se acorda 5 puncte</w:t>
            </w:r>
          </w:p>
        </w:tc>
        <w:tc>
          <w:tcPr>
            <w:tcW w:w="1220" w:type="dxa"/>
            <w:shd w:val="clear" w:color="auto" w:fill="8DB3E2" w:themeFill="text2" w:themeFillTint="66"/>
          </w:tcPr>
          <w:p>
            <w:pPr>
              <w:jc w:val="center"/>
              <w:rPr>
                <w:rFonts w:ascii="Trebuchet MS" w:hAnsi="Trebuchet MS"/>
                <w:lang w:val="ro-RO"/>
              </w:rPr>
            </w:pPr>
          </w:p>
        </w:tc>
        <w:tc>
          <w:tcPr>
            <w:tcW w:w="1220" w:type="dxa"/>
            <w:shd w:val="clear" w:color="auto" w:fill="8DB3E2" w:themeFill="text2" w:themeFillTint="66"/>
          </w:tcPr>
          <w:p>
            <w:pPr>
              <w:jc w:val="center"/>
              <w:rPr>
                <w:rFonts w:ascii="Trebuchet MS" w:hAnsi="Trebuchet MS"/>
                <w:lang w:val="ro-RO"/>
              </w:rPr>
            </w:pPr>
          </w:p>
        </w:tc>
        <w:tc>
          <w:tcPr>
            <w:tcW w:w="1100" w:type="dxa"/>
            <w:shd w:val="clear" w:color="auto" w:fill="8DB3E2" w:themeFill="text2" w:themeFillTint="66"/>
          </w:tcPr>
          <w:p>
            <w:pPr>
              <w:jc w:val="center"/>
              <w:rPr>
                <w:rFonts w:ascii="Trebuchet MS" w:hAnsi="Trebuchet MS"/>
                <w:lang w:val="ro-RO"/>
              </w:rPr>
            </w:pPr>
          </w:p>
        </w:tc>
      </w:tr>
      <w:tr>
        <w:trPr>
          <w:jc w:val="center"/>
        </w:trPr>
        <w:tc>
          <w:tcPr>
            <w:tcW w:w="5702" w:type="dxa"/>
            <w:gridSpan w:val="2"/>
            <w:shd w:val="clear" w:color="auto" w:fill="8DB3E2" w:themeFill="text2" w:themeFillTint="66"/>
          </w:tcPr>
          <w:p>
            <w:pPr>
              <w:jc w:val="center"/>
              <w:rPr>
                <w:rFonts w:ascii="Trebuchet MS" w:hAnsi="Trebuchet MS"/>
                <w:b/>
                <w:lang w:val="ro-RO" w:eastAsia="ro-RO"/>
              </w:rPr>
            </w:pPr>
            <w:r>
              <w:rPr>
                <w:rFonts w:ascii="Trebuchet MS" w:hAnsi="Trebuchet MS"/>
                <w:b/>
                <w:lang w:val="ro-RO" w:eastAsia="ro-RO"/>
              </w:rPr>
              <w:t>TOTAL MAXIM</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100</w:t>
            </w:r>
          </w:p>
        </w:tc>
        <w:tc>
          <w:tcPr>
            <w:tcW w:w="1220" w:type="dxa"/>
            <w:shd w:val="clear" w:color="auto" w:fill="8DB3E2" w:themeFill="text2" w:themeFillTint="66"/>
          </w:tcPr>
          <w:p>
            <w:pPr>
              <w:jc w:val="center"/>
              <w:rPr>
                <w:rFonts w:ascii="Trebuchet MS" w:hAnsi="Trebuchet MS"/>
                <w:b/>
                <w:lang w:val="ro-RO"/>
              </w:rPr>
            </w:pPr>
          </w:p>
        </w:tc>
        <w:tc>
          <w:tcPr>
            <w:tcW w:w="1100" w:type="dxa"/>
            <w:shd w:val="clear" w:color="auto" w:fill="8DB3E2" w:themeFill="text2" w:themeFillTint="66"/>
          </w:tcPr>
          <w:p>
            <w:pPr>
              <w:jc w:val="center"/>
              <w:rPr>
                <w:rFonts w:ascii="Trebuchet MS" w:hAnsi="Trebuchet MS"/>
                <w:b/>
                <w:lang w:val="ro-RO"/>
              </w:rPr>
            </w:pPr>
          </w:p>
        </w:tc>
      </w:tr>
    </w:tbl>
    <w:p>
      <w:pPr>
        <w:spacing w:after="0" w:line="240" w:lineRule="auto"/>
        <w:jc w:val="both"/>
        <w:rPr>
          <w:rFonts w:ascii="Trebuchet MS" w:hAnsi="Trebuchet MS"/>
          <w:b/>
          <w:lang w:val="ro-RO"/>
        </w:rPr>
      </w:pPr>
    </w:p>
    <w:p>
      <w:pPr>
        <w:pStyle w:val="ListParagraph"/>
        <w:spacing w:line="240" w:lineRule="auto"/>
        <w:ind w:left="1068"/>
        <w:jc w:val="both"/>
        <w:rPr>
          <w:rFonts w:ascii="Trebuchet MS" w:hAnsi="Trebuchet MS"/>
          <w:color w:val="4F81BD" w:themeColor="accent1"/>
          <w:lang w:val="ro-RO" w:eastAsia="ro-RO"/>
        </w:rPr>
      </w:pPr>
      <w:r>
        <w:rPr>
          <w:rFonts w:ascii="Trebuchet MS" w:hAnsi="Trebuchet MS"/>
          <w:b/>
          <w:color w:val="1F497D" w:themeColor="text2"/>
          <w:lang w:val="ro-RO"/>
        </w:rPr>
        <w:t xml:space="preserve">Nota: </w:t>
      </w:r>
      <w:r>
        <w:rPr>
          <w:rFonts w:ascii="Trebuchet MS" w:hAnsi="Trebuchet MS"/>
          <w:color w:val="4F81BD" w:themeColor="accent1"/>
          <w:lang w:val="ro-RO" w:eastAsia="ro-RO"/>
        </w:rPr>
        <w:t>Obtinerea unui punctaj mai mic de 5 puncte, la criteriile unde acesta este punctajul minim, conduce la descalificarea fisei de proiect .</w:t>
      </w:r>
    </w:p>
    <w:p>
      <w:pPr>
        <w:spacing w:line="240" w:lineRule="auto"/>
        <w:jc w:val="both"/>
        <w:rPr>
          <w:rFonts w:ascii="Trebuchet MS" w:hAnsi="Trebuchet MS"/>
          <w:b/>
          <w:lang w:val="ro-RO"/>
        </w:rPr>
      </w:pPr>
      <w:r>
        <w:rPr>
          <w:rFonts w:ascii="Trebuchet MS" w:hAnsi="Trebuchet MS"/>
          <w:b/>
          <w:lang w:val="ro-RO"/>
        </w:rPr>
        <w:t>Punctajul minim pentru proiectele  pentru proiectele POR este de 50 de puncte.</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2328"/>
        <w:gridCol w:w="1343"/>
        <w:gridCol w:w="1732"/>
      </w:tblGrid>
      <w:tr>
        <w:trPr>
          <w:cantSplit/>
          <w:trHeight w:val="134"/>
          <w:jc w:val="center"/>
        </w:trPr>
        <w:tc>
          <w:tcPr>
            <w:tcW w:w="4115" w:type="dxa"/>
            <w:tcBorders>
              <w:bottom w:val="nil"/>
            </w:tcBorders>
          </w:tcPr>
          <w:p>
            <w:pPr>
              <w:pStyle w:val="Tableline"/>
              <w:spacing w:after="0"/>
              <w:rPr>
                <w:rFonts w:ascii="Arial Narrow" w:hAnsi="Arial Narrow"/>
                <w:sz w:val="24"/>
                <w:szCs w:val="24"/>
                <w:lang w:val="ro-RO"/>
              </w:rPr>
            </w:pPr>
          </w:p>
        </w:tc>
        <w:tc>
          <w:tcPr>
            <w:tcW w:w="2328"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Nume si prenume</w:t>
            </w:r>
          </w:p>
        </w:tc>
        <w:tc>
          <w:tcPr>
            <w:tcW w:w="1343"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Semnătura</w:t>
            </w:r>
          </w:p>
        </w:tc>
        <w:tc>
          <w:tcPr>
            <w:tcW w:w="1732"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Data</w:t>
            </w:r>
          </w:p>
        </w:tc>
      </w:tr>
      <w:tr>
        <w:trPr>
          <w:cantSplit/>
          <w:trHeight w:val="362"/>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Preşedintele Comitetului de selecţie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Secretar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51"/>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bl>
    <w:p>
      <w:pPr>
        <w:spacing w:line="240" w:lineRule="auto"/>
        <w:rPr>
          <w:rFonts w:ascii="Trebuchet MS" w:eastAsia="Times New Roman" w:hAnsi="Trebuchet MS" w:cs="Arial"/>
          <w:lang w:val="ro-RO"/>
        </w:rPr>
      </w:pPr>
    </w:p>
    <w:p>
      <w:pPr>
        <w:spacing w:line="240" w:lineRule="auto"/>
        <w:rPr>
          <w:rFonts w:ascii="Trebuchet MS" w:eastAsia="Times New Roman" w:hAnsi="Trebuchet MS" w:cs="Calibri"/>
          <w:color w:val="000000"/>
          <w:lang w:val="ro-RO"/>
        </w:rPr>
      </w:pPr>
      <w:r>
        <w:rPr>
          <w:rFonts w:ascii="Trebuchet MS" w:eastAsia="Times New Roman" w:hAnsi="Trebuchet MS" w:cs="Arial"/>
          <w:lang w:val="ro-RO"/>
        </w:rPr>
        <w:t>Avizat,                                                                            Realizat,</w:t>
      </w:r>
    </w:p>
    <w:p>
      <w:pPr>
        <w:spacing w:line="240" w:lineRule="auto"/>
        <w:jc w:val="both"/>
        <w:rPr>
          <w:rFonts w:ascii="Trebuchet MS" w:hAnsi="Trebuchet MS"/>
          <w:sz w:val="18"/>
          <w:szCs w:val="18"/>
          <w:lang w:val="ro-RO"/>
        </w:rPr>
      </w:pPr>
      <w:r>
        <w:rPr>
          <w:rFonts w:ascii="Trebuchet MS" w:hAnsi="Trebuchet MS"/>
          <w:sz w:val="18"/>
          <w:szCs w:val="18"/>
          <w:lang w:val="ro-RO"/>
        </w:rPr>
        <w:t>Manager GAL,                                                                  Expert implementare evaluare monitorizare,</w:t>
      </w:r>
    </w:p>
    <w:p>
      <w:pPr>
        <w:spacing w:line="240" w:lineRule="auto"/>
        <w:jc w:val="both"/>
        <w:rPr>
          <w:rFonts w:ascii="Trebuchet MS" w:hAnsi="Trebuchet MS"/>
          <w:sz w:val="18"/>
          <w:szCs w:val="18"/>
          <w:lang w:val="ro-RO"/>
        </w:rPr>
      </w:pPr>
      <w:r>
        <w:rPr>
          <w:rFonts w:ascii="Trebuchet MS" w:hAnsi="Trebuchet MS"/>
          <w:sz w:val="18"/>
          <w:szCs w:val="18"/>
          <w:lang w:val="ro-RO"/>
        </w:rPr>
        <w:t xml:space="preserve">Lupascu Catalina                                                  </w:t>
      </w:r>
      <w:r>
        <w:rPr>
          <w:rFonts w:ascii="Trebuchet MS" w:hAnsi="Trebuchet MS"/>
          <w:sz w:val="18"/>
          <w:szCs w:val="18"/>
          <w:lang w:val="ro-RO"/>
        </w:rPr>
        <w:tab/>
      </w:r>
      <w:r>
        <w:rPr>
          <w:rFonts w:ascii="Trebuchet MS" w:hAnsi="Trebuchet MS"/>
          <w:sz w:val="18"/>
          <w:szCs w:val="18"/>
          <w:lang w:val="ro-RO"/>
        </w:rPr>
        <w:tab/>
      </w:r>
      <w:r>
        <w:rPr>
          <w:rFonts w:ascii="Trebuchet MS" w:hAnsi="Trebuchet MS"/>
          <w:sz w:val="18"/>
          <w:szCs w:val="18"/>
          <w:lang w:val="ro-RO"/>
        </w:rPr>
        <w:tab/>
        <w:t>Cretu Cornelia</w:t>
      </w:r>
    </w:p>
    <w:p>
      <w:pPr>
        <w:spacing w:line="240" w:lineRule="auto"/>
        <w:jc w:val="both"/>
        <w:rPr>
          <w:rFonts w:ascii="Trebuchet MS" w:hAnsi="Trebuchet MS"/>
          <w:sz w:val="18"/>
          <w:szCs w:val="18"/>
          <w:lang w:val="ro-RO"/>
        </w:rPr>
      </w:pPr>
      <w:r>
        <w:rPr>
          <w:rFonts w:ascii="Trebuchet MS" w:hAnsi="Trebuchet MS"/>
          <w:sz w:val="18"/>
          <w:szCs w:val="18"/>
          <w:lang w:val="ro-RO"/>
        </w:rPr>
        <w:t xml:space="preserve">                                                                                       Expert tehnic, Ivan paul</w:t>
      </w:r>
    </w:p>
    <w:p>
      <w:pPr>
        <w:spacing w:line="240" w:lineRule="auto"/>
        <w:jc w:val="both"/>
        <w:rPr>
          <w:rFonts w:ascii="Trebuchet MS" w:hAnsi="Trebuchet MS"/>
          <w:sz w:val="18"/>
          <w:szCs w:val="18"/>
          <w:lang w:val="ro-RO"/>
        </w:rPr>
      </w:pPr>
    </w:p>
    <w:p>
      <w:pPr>
        <w:rPr>
          <w:rFonts w:ascii="Trebuchet MS" w:hAnsi="Trebuchet MS"/>
          <w:b/>
        </w:rPr>
      </w:pPr>
    </w:p>
    <w:p>
      <w:pPr>
        <w:rPr>
          <w:rFonts w:ascii="Trebuchet MS" w:hAnsi="Trebuchet MS" w:cs="Calibri"/>
          <w:b/>
          <w:bCs/>
          <w:lang w:val="ro-RO"/>
        </w:rPr>
      </w:pPr>
    </w:p>
    <w:p>
      <w:pPr>
        <w:rPr>
          <w:rFonts w:ascii="Trebuchet MS" w:hAnsi="Trebuchet MS" w:cs="Calibri"/>
          <w:lang w:val="ro-RO"/>
        </w:rPr>
      </w:pPr>
      <w:bookmarkStart w:id="114" w:name="_Toc445908172"/>
    </w:p>
    <w:bookmarkEnd w:id="114"/>
    <w:p>
      <w:pPr>
        <w:spacing w:line="240" w:lineRule="auto"/>
        <w:jc w:val="both"/>
        <w:rPr>
          <w:rFonts w:ascii="Trebuchet MS" w:hAnsi="Trebuchet MS"/>
        </w:rPr>
      </w:pPr>
      <w:r>
        <w:rPr>
          <w:rFonts w:ascii="Trebuchet MS" w:hAnsi="Trebuchet MS" w:cs="Calibri"/>
        </w:rPr>
        <w:fldChar w:fldCharType="end"/>
      </w:r>
    </w:p>
    <w:sectPr>
      <w:headerReference w:type="default" r:id="rId18"/>
      <w:footerReference w:type="default" r:id="rId19"/>
      <w:pgSz w:w="11906" w:h="16838"/>
      <w:pgMar w:top="1701"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1"/>
    <w:family w:val="roman"/>
    <w:notTrueType/>
    <w:pitch w:val="variable"/>
  </w:font>
  <w:font w:name="EC Square Sans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Cula-Extra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331749"/>
      <w:docPartObj>
        <w:docPartGallery w:val="Page Numbers (Bottom of Page)"/>
        <w:docPartUnique/>
      </w:docPartObj>
    </w:sdtPr>
    <w:sdtEndPr>
      <w:rPr>
        <w:noProof/>
      </w:rPr>
    </w:sdtEndPr>
    <w:sdtContent>
      <w:p>
        <w:pPr>
          <w:pStyle w:val="Footer"/>
        </w:pPr>
        <w:r>
          <w:rPr>
            <w:noProof/>
            <w:lang w:val="ro-RO" w:eastAsia="ro-RO"/>
          </w:rPr>
          <w:drawing>
            <wp:inline distT="0" distB="0" distL="0" distR="0">
              <wp:extent cx="572620" cy="510989"/>
              <wp:effectExtent l="19050" t="0" r="0" b="0"/>
              <wp:docPr id="17" name="Imagine 17" descr="https://scontent.fotp3-3.fna.fbcdn.net/v/t1.15752-0/p480x480/35206654_1704171556337325_570065863827259392_n.jpg?_nc_cat=103&amp;oh=8d0a93927de66b500f54afb809624da6&amp;oe=5C2ED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otp3-3.fna.fbcdn.net/v/t1.15752-0/p480x480/35206654_1704171556337325_570065863827259392_n.jpg?_nc_cat=103&amp;oh=8d0a93927de66b500f54afb809624da6&amp;oe=5C2EDD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74" cy="522192"/>
                      </a:xfrm>
                      <a:prstGeom prst="rect">
                        <a:avLst/>
                      </a:prstGeom>
                      <a:noFill/>
                      <a:ln>
                        <a:noFill/>
                      </a:ln>
                    </pic:spPr>
                  </pic:pic>
                </a:graphicData>
              </a:graphic>
            </wp:inline>
          </w:drawing>
        </w:r>
        <w:proofErr w:type="spellStart"/>
        <w:r>
          <w:t>Asociatia</w:t>
        </w:r>
        <w:proofErr w:type="spellEnd"/>
        <w:r>
          <w:t xml:space="preserve">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roofErr w:type="spellStart"/>
        <w:r>
          <w:t>Botosani</w:t>
        </w:r>
        <w:proofErr w:type="spellEnd"/>
        <w:r>
          <w:t xml:space="preserve"> </w:t>
        </w:r>
        <w:proofErr w:type="spellStart"/>
        <w:r>
          <w:t>pentru</w:t>
        </w:r>
        <w:proofErr w:type="spellEnd"/>
        <w:r>
          <w:t xml:space="preserve"> </w:t>
        </w:r>
        <w:proofErr w:type="spellStart"/>
        <w:r>
          <w:t>Viitor</w:t>
        </w:r>
        <w:proofErr w:type="spellEnd"/>
        <w:r>
          <w:t>”</w:t>
        </w:r>
      </w:p>
      <w:p>
        <w:pPr>
          <w:pStyle w:val="Footer"/>
        </w:pPr>
        <w:r>
          <w:t xml:space="preserve">Str. </w:t>
        </w:r>
        <w:proofErr w:type="spellStart"/>
        <w:r>
          <w:t>Postei</w:t>
        </w:r>
        <w:proofErr w:type="spellEnd"/>
        <w:r>
          <w:t xml:space="preserve"> nr. 9, </w:t>
        </w:r>
        <w:proofErr w:type="spellStart"/>
        <w:r>
          <w:t>Incubatorul</w:t>
        </w:r>
        <w:proofErr w:type="spellEnd"/>
        <w:r>
          <w:t xml:space="preserve"> de </w:t>
        </w:r>
        <w:proofErr w:type="spellStart"/>
        <w:r>
          <w:t>Afaceri</w:t>
        </w:r>
        <w:proofErr w:type="spellEnd"/>
        <w:r>
          <w:t xml:space="preserve"> cam 214</w:t>
        </w:r>
      </w:p>
      <w:p>
        <w:pPr>
          <w:pStyle w:val="Footer"/>
        </w:pPr>
        <w:proofErr w:type="spellStart"/>
        <w:r>
          <w:t>Telefon</w:t>
        </w:r>
        <w:proofErr w:type="spellEnd"/>
        <w:r>
          <w:t>: 0755015995</w:t>
        </w:r>
      </w:p>
      <w:p>
        <w:pPr>
          <w:pStyle w:val="Footer"/>
        </w:pPr>
        <w:r>
          <w:t>Mail: galbotosani@gmail.com</w:t>
        </w:r>
      </w:p>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r>
      <w:rPr>
        <w:noProof/>
        <w:lang w:val="ro-RO" w:eastAsia="ro-RO"/>
      </w:rPr>
      <w:drawing>
        <wp:inline distT="0" distB="0" distL="0" distR="0">
          <wp:extent cx="465909" cy="457200"/>
          <wp:effectExtent l="19050" t="0" r="0" b="0"/>
          <wp:docPr id="5" name="Imagine 17" descr="https://scontent.fotp3-3.fna.fbcdn.net/v/t1.15752-0/p480x480/35206654_1704171556337325_570065863827259392_n.jpg?_nc_cat=103&amp;oh=8d0a93927de66b500f54afb809624da6&amp;oe=5C2ED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otp3-3.fna.fbcdn.net/v/t1.15752-0/p480x480/35206654_1704171556337325_570065863827259392_n.jpg?_nc_cat=103&amp;oh=8d0a93927de66b500f54afb809624da6&amp;oe=5C2EDD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37" cy="458994"/>
                  </a:xfrm>
                  <a:prstGeom prst="rect">
                    <a:avLst/>
                  </a:prstGeom>
                  <a:noFill/>
                  <a:ln>
                    <a:noFill/>
                  </a:ln>
                </pic:spPr>
              </pic:pic>
            </a:graphicData>
          </a:graphic>
        </wp:inline>
      </w:drawing>
    </w:r>
  </w:p>
  <w:p>
    <w:pPr>
      <w:pStyle w:val="Footer"/>
    </w:pPr>
    <w:proofErr w:type="spellStart"/>
    <w:r>
      <w:t>Asociatia</w:t>
    </w:r>
    <w:proofErr w:type="spellEnd"/>
    <w:r>
      <w:t xml:space="preserve">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roofErr w:type="spellStart"/>
    <w:r>
      <w:rPr>
        <w:i/>
      </w:rPr>
      <w:t>Botosani</w:t>
    </w:r>
    <w:proofErr w:type="spellEnd"/>
    <w:r>
      <w:rPr>
        <w:i/>
      </w:rPr>
      <w:t xml:space="preserve"> </w:t>
    </w:r>
    <w:proofErr w:type="spellStart"/>
    <w:r>
      <w:rPr>
        <w:i/>
      </w:rPr>
      <w:t>pentru</w:t>
    </w:r>
    <w:proofErr w:type="spellEnd"/>
    <w:r>
      <w:rPr>
        <w:i/>
      </w:rPr>
      <w:t xml:space="preserve"> </w:t>
    </w:r>
    <w:proofErr w:type="spellStart"/>
    <w:r>
      <w:rPr>
        <w:i/>
      </w:rPr>
      <w:t>Viitor</w:t>
    </w:r>
    <w:proofErr w:type="spellEnd"/>
  </w:p>
  <w:p>
    <w:pPr>
      <w:pStyle w:val="Footer"/>
    </w:pPr>
    <w:r>
      <w:t xml:space="preserve">Str. </w:t>
    </w:r>
    <w:proofErr w:type="spellStart"/>
    <w:r>
      <w:t>Postei</w:t>
    </w:r>
    <w:proofErr w:type="spellEnd"/>
    <w:r>
      <w:t xml:space="preserve"> nr. 9, </w:t>
    </w:r>
    <w:proofErr w:type="spellStart"/>
    <w:r>
      <w:t>Incubatorul</w:t>
    </w:r>
    <w:proofErr w:type="spellEnd"/>
    <w:r>
      <w:t xml:space="preserve"> de </w:t>
    </w:r>
    <w:proofErr w:type="spellStart"/>
    <w:r>
      <w:t>Afaceri</w:t>
    </w:r>
    <w:proofErr w:type="spellEnd"/>
    <w:r>
      <w:t xml:space="preserve"> cam 214</w:t>
    </w:r>
  </w:p>
  <w:p>
    <w:pPr>
      <w:pStyle w:val="Footer"/>
    </w:pPr>
    <w:proofErr w:type="spellStart"/>
    <w:r>
      <w:t>Telefon</w:t>
    </w:r>
    <w:proofErr w:type="spellEnd"/>
    <w:r>
      <w:t>: 0755015995</w:t>
    </w:r>
  </w:p>
  <w:p>
    <w:pPr>
      <w:pStyle w:val="Footer"/>
    </w:pPr>
    <w:r>
      <w:t xml:space="preserve">Mail: </w:t>
    </w:r>
    <w:hyperlink r:id="rId2" w:history="1">
      <w:r>
        <w:rPr>
          <w:rStyle w:val="Hyperlink"/>
        </w:rPr>
        <w:t>galbotosani@gmail.com</w:t>
      </w:r>
    </w:hyperlink>
  </w:p>
  <w:p>
    <w:pPr>
      <w:pStyle w:val="Footer"/>
    </w:pPr>
    <w:r>
      <w:t>www.galbotosani.ro</w:t>
    </w:r>
  </w:p>
  <w:p>
    <w:pPr>
      <w:pStyle w:val="Footer"/>
      <w:jc w:val="center"/>
    </w:pPr>
    <w:r>
      <w:fldChar w:fldCharType="begin"/>
    </w:r>
    <w:r>
      <w:instrText xml:space="preserve"> PAGE   \* MERGEFORMAT </w:instrText>
    </w:r>
    <w:r>
      <w:fldChar w:fldCharType="separate"/>
    </w:r>
    <w:r>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Pentrucheltuielileefectuateîncadrulproiectelorimplementate de catreintreprinderile de economiesocială de inserție, prevederile de mai sus se vorcompleta cu normeleajutorului de stat aplicabile conform HG 399/2015.</w:t>
      </w:r>
    </w:p>
  </w:footnote>
  <w:footnote w:id="2">
    <w:p>
      <w:pPr>
        <w:spacing w:after="0"/>
        <w:ind w:right="170"/>
        <w:jc w:val="both"/>
        <w:rPr>
          <w:rStyle w:val="rvts7"/>
          <w:rFonts w:ascii="Trebuchet MS" w:eastAsia="MS Mincho" w:hAnsi="Trebuchet MS" w:cs="Tahoma"/>
          <w:sz w:val="18"/>
          <w:szCs w:val="18"/>
        </w:rPr>
      </w:pPr>
      <w:r>
        <w:rPr>
          <w:rStyle w:val="FootnoteReference"/>
          <w:rFonts w:ascii="Trebuchet MS" w:hAnsi="Trebuchet MS"/>
          <w:sz w:val="18"/>
          <w:szCs w:val="18"/>
        </w:rPr>
        <w:footnoteRef/>
      </w:r>
      <w:r>
        <w:rPr>
          <w:rFonts w:ascii="Trebuchet MS" w:hAnsi="Trebuchet MS"/>
          <w:sz w:val="18"/>
          <w:szCs w:val="18"/>
        </w:rPr>
        <w:t xml:space="preserve"> “</w:t>
      </w:r>
      <w:r>
        <w:rPr>
          <w:rStyle w:val="rvts7"/>
          <w:rFonts w:ascii="Trebuchet MS" w:hAnsi="Trebuchet MS" w:cs="Tahoma"/>
          <w:sz w:val="18"/>
          <w:szCs w:val="18"/>
        </w:rPr>
        <w:t>Selectareazonelor urbane în care esteindicatăaplicareaabordării CLLD se va face pe bazacriteriilor de dimensiuneșicoerență. Din punctul de vedere al dimensiunii, populațiavizată de un parteneriat local vacuprindeîntre 10.000 și 150.000 de locuitori.</w:t>
      </w:r>
    </w:p>
    <w:p>
      <w:pPr>
        <w:pStyle w:val="FootnoteText"/>
        <w:jc w:val="both"/>
        <w:rPr>
          <w:rFonts w:cs="Trebuchet MS"/>
        </w:rPr>
      </w:pPr>
      <w:r>
        <w:rPr>
          <w:rStyle w:val="rvts7"/>
          <w:rFonts w:ascii="Trebuchet MS" w:hAnsi="Trebuchet MS" w:cs="Tahoma"/>
          <w:sz w:val="18"/>
          <w:szCs w:val="18"/>
        </w:rPr>
        <w:t>Din punctul de vedere al coerenței, zonelevizate de un parteneriat local (grup de acțiunelocală) trebuiesă fie coerente din punct de vedere economic, social șifizic, princoerențăînțelegându-se „funcționalitatea” zoneiînsensulsusțineriiobiectivelorstrategiei de dezvoltarelocală. Teritoriulvacuprinde una saumaimulte zone urbane marginalizate (cum ar fi zone de tip ghetou cu blocuri) alături de zona urbanăfuncțională din care fac parteacestea”  (Anexa 10.5 la Ghidulsolicitantului POR  2014-2020)</w:t>
      </w:r>
    </w:p>
  </w:footnote>
  <w:footnote w:id="3">
    <w:p>
      <w:pPr>
        <w:pStyle w:val="FootnoteText"/>
        <w:jc w:val="both"/>
      </w:pPr>
      <w:r>
        <w:rPr>
          <w:rStyle w:val="FootnoteReference"/>
        </w:rPr>
        <w:footnoteRef/>
      </w:r>
      <w:r>
        <w:t xml:space="preserve"> Se vor avea învedere prevederile art. 39 alin (4) din Normele metodologice aprobate prin H.G. nr. 93/2016;</w:t>
      </w:r>
    </w:p>
  </w:footnote>
  <w:footnote w:id="4">
    <w:p>
      <w:pPr>
        <w:pStyle w:val="FootnoteText"/>
        <w:jc w:val="both"/>
      </w:pPr>
      <w:r>
        <w:rPr>
          <w:rStyle w:val="FootnoteReference"/>
        </w:rPr>
        <w:footnoteRef/>
      </w:r>
      <w:r>
        <w:t xml:space="preserve"> Se voraveaînvedereprevederile art. 39 alin (1) din Normelemetodologiceaprobateprin H.G. nr. 93/2016;</w:t>
      </w:r>
    </w:p>
  </w:footnote>
  <w:footnote w:id="5">
    <w:p>
      <w:pPr>
        <w:pStyle w:val="FootnoteText"/>
      </w:pPr>
      <w:r>
        <w:rPr>
          <w:rStyle w:val="FootnoteReference"/>
        </w:rPr>
        <w:footnoteRef/>
      </w:r>
      <w:r>
        <w:t xml:space="preserve"> A se vedea art. 35 alin (1) din Normelemetodologiceaprobateprin HG nr. 93/2016;</w:t>
      </w:r>
    </w:p>
  </w:footnote>
  <w:footnote w:id="6">
    <w:p>
      <w:pPr>
        <w:pStyle w:val="FootnoteText"/>
      </w:pPr>
      <w:r>
        <w:rPr>
          <w:rStyle w:val="FootnoteReference"/>
        </w:rPr>
        <w:footnoteRef/>
      </w:r>
      <w:r>
        <w:t xml:space="preserve"> A se vedea art. 8 alin (1) din OUG nr. 40/2015).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jc w:val="center"/>
    </w:pPr>
    <w:r>
      <w:rPr>
        <w:noProof/>
        <w:lang w:val="ro-RO" w:eastAsia="ro-RO"/>
      </w:rPr>
      <w:drawing>
        <wp:anchor distT="0" distB="0" distL="114300" distR="114300" simplePos="0" relativeHeight="251671552" behindDoc="1" locked="0" layoutInCell="1" allowOverlap="1">
          <wp:simplePos x="0" y="0"/>
          <wp:positionH relativeFrom="column">
            <wp:posOffset>804545</wp:posOffset>
          </wp:positionH>
          <wp:positionV relativeFrom="paragraph">
            <wp:posOffset>-521335</wp:posOffset>
          </wp:positionV>
          <wp:extent cx="4143375" cy="854710"/>
          <wp:effectExtent l="0" t="0" r="0" b="0"/>
          <wp:wrapTopAndBottom/>
          <wp:docPr id="3" name="Imagine 14" descr="Image result for sigla uniunii europ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igla uniunii europ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8547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Pr>
        <w:rFonts w:ascii="Trebuchet MS" w:hAnsi="Trebuchet MS" w:cs="Arial"/>
        <w:i/>
        <w:color w:val="1F497D"/>
        <w:sz w:val="18"/>
        <w:szCs w:val="18"/>
        <w:lang w:val="ro-RO"/>
      </w:rPr>
      <w:t xml:space="preserve">Programul </w:t>
    </w:r>
    <w:proofErr w:type="spellStart"/>
    <w:r>
      <w:rPr>
        <w:rFonts w:ascii="Trebuchet MS" w:hAnsi="Trebuchet MS" w:cs="Arial"/>
        <w:i/>
        <w:color w:val="1F497D"/>
        <w:sz w:val="18"/>
        <w:szCs w:val="18"/>
        <w:lang w:val="ro-RO"/>
      </w:rPr>
      <w:t>Operaţional</w:t>
    </w:r>
    <w:proofErr w:type="spellEnd"/>
    <w:r>
      <w:rPr>
        <w:rFonts w:ascii="Trebuchet MS" w:hAnsi="Trebuchet MS" w:cs="Arial"/>
        <w:i/>
        <w:color w:val="1F497D"/>
        <w:sz w:val="18"/>
        <w:szCs w:val="18"/>
        <w:lang w:val="ro-RO"/>
      </w:rPr>
      <w:t xml:space="preserve"> Capacitate Administrativă 2014 - 2020</w:t>
    </w:r>
  </w:p>
  <w:p>
    <w:pPr>
      <w:pBdr>
        <w:bottom w:val="single" w:sz="4" w:space="1" w:color="auto"/>
      </w:pBdr>
      <w:tabs>
        <w:tab w:val="center" w:pos="4513"/>
        <w:tab w:val="left" w:pos="7594"/>
        <w:tab w:val="right" w:pos="9026"/>
      </w:tabs>
      <w:rPr>
        <w:lang w:val="ro-RO"/>
      </w:rPr>
    </w:pPr>
    <w:r>
      <w:rPr>
        <w:rFonts w:ascii="Trebuchet MS" w:hAnsi="Trebuchet MS" w:cs="Arial"/>
        <w:i/>
        <w:color w:val="1F497D"/>
        <w:sz w:val="18"/>
        <w:szCs w:val="18"/>
        <w:lang w:val="ro-RO"/>
      </w:rPr>
      <w:t>Ghidul solicitantului aferent cererii de proiecte POCA/219/2/3 (CP8/2017)</w:t>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rPr>
        <w:noProof/>
        <w:lang w:val="ro-RO" w:eastAsia="ro-RO"/>
      </w:rPr>
      <w:drawing>
        <wp:inline distT="0" distB="0" distL="0" distR="0">
          <wp:extent cx="5731510" cy="594360"/>
          <wp:effectExtent l="19050" t="0" r="2540" b="0"/>
          <wp:docPr id="4" name="Picture 0" descr="header.png"/>
          <wp:cNvGraphicFramePr/>
          <a:graphic xmlns:a="http://schemas.openxmlformats.org/drawingml/2006/main">
            <a:graphicData uri="http://schemas.openxmlformats.org/drawingml/2006/picture">
              <pic:pic xmlns:pic="http://schemas.openxmlformats.org/drawingml/2006/picture">
                <pic:nvPicPr>
                  <pic:cNvPr id="16" name="Picture 0" descr="header.png"/>
                  <pic:cNvPicPr/>
                </pic:nvPicPr>
                <pic:blipFill>
                  <a:blip r:embed="rId1"/>
                  <a:stretch>
                    <a:fillRect/>
                  </a:stretch>
                </pic:blipFill>
                <pic:spPr>
                  <a:xfrm>
                    <a:off x="0" y="0"/>
                    <a:ext cx="5731510" cy="594360"/>
                  </a:xfrm>
                  <a:prstGeom prst="rect">
                    <a:avLst/>
                  </a:prstGeom>
                </pic:spPr>
              </pic:pic>
            </a:graphicData>
          </a:graphic>
        </wp:inline>
      </w:drawing>
    </w:r>
  </w:p>
  <w:p>
    <w:pPr>
      <w:pStyle w:val="Header"/>
      <w:jc w:val="center"/>
      <w:rPr>
        <w:b/>
        <w:bCs/>
        <w:sz w:val="20"/>
        <w:szCs w:val="20"/>
      </w:rPr>
    </w:pPr>
    <w:proofErr w:type="spellStart"/>
    <w:r>
      <w:rPr>
        <w:b/>
        <w:bCs/>
        <w:sz w:val="20"/>
        <w:szCs w:val="20"/>
      </w:rPr>
      <w:t>Proiect</w:t>
    </w:r>
    <w:proofErr w:type="spellEnd"/>
    <w:r>
      <w:rPr>
        <w:b/>
        <w:bCs/>
        <w:sz w:val="20"/>
        <w:szCs w:val="20"/>
      </w:rPr>
      <w:t xml:space="preserve"> co-</w:t>
    </w:r>
    <w:proofErr w:type="spellStart"/>
    <w:r>
      <w:rPr>
        <w:b/>
        <w:bCs/>
        <w:sz w:val="20"/>
        <w:szCs w:val="20"/>
      </w:rPr>
      <w:t>finantat</w:t>
    </w:r>
    <w:proofErr w:type="spellEnd"/>
    <w:r>
      <w:rPr>
        <w:b/>
        <w:bCs/>
        <w:sz w:val="20"/>
        <w:szCs w:val="20"/>
      </w:rPr>
      <w:t xml:space="preserve"> din </w:t>
    </w:r>
    <w:proofErr w:type="spellStart"/>
    <w:r>
      <w:rPr>
        <w:b/>
        <w:bCs/>
        <w:sz w:val="20"/>
        <w:szCs w:val="20"/>
      </w:rPr>
      <w:t>Fondul</w:t>
    </w:r>
    <w:proofErr w:type="spellEnd"/>
    <w:r>
      <w:rPr>
        <w:b/>
        <w:bCs/>
        <w:sz w:val="20"/>
        <w:szCs w:val="20"/>
      </w:rPr>
      <w:t xml:space="preserve"> Social European </w:t>
    </w:r>
    <w:proofErr w:type="spellStart"/>
    <w:r>
      <w:rPr>
        <w:b/>
        <w:bCs/>
        <w:sz w:val="20"/>
        <w:szCs w:val="20"/>
      </w:rPr>
      <w:t>prin</w:t>
    </w:r>
    <w:proofErr w:type="spellEnd"/>
    <w:r>
      <w:rPr>
        <w:b/>
        <w:bCs/>
        <w:sz w:val="20"/>
        <w:szCs w:val="20"/>
      </w:rPr>
      <w:t xml:space="preserve"> </w:t>
    </w:r>
    <w:proofErr w:type="spellStart"/>
    <w:r>
      <w:rPr>
        <w:b/>
        <w:bCs/>
        <w:sz w:val="20"/>
        <w:szCs w:val="20"/>
      </w:rPr>
      <w:t>Programul</w:t>
    </w:r>
    <w:proofErr w:type="spellEnd"/>
    <w:r>
      <w:rPr>
        <w:b/>
        <w:bCs/>
        <w:sz w:val="20"/>
        <w:szCs w:val="20"/>
      </w:rPr>
      <w:t xml:space="preserve"> Operational Capital </w:t>
    </w:r>
    <w:proofErr w:type="spellStart"/>
    <w:r>
      <w:rPr>
        <w:b/>
        <w:bCs/>
        <w:sz w:val="20"/>
        <w:szCs w:val="20"/>
      </w:rPr>
      <w:t>Uman</w:t>
    </w:r>
    <w:proofErr w:type="spellEnd"/>
    <w:r>
      <w:rPr>
        <w:b/>
        <w:bCs/>
        <w:sz w:val="20"/>
        <w:szCs w:val="20"/>
      </w:rPr>
      <w:t xml:space="preserve"> 2014-2020</w:t>
    </w:r>
  </w:p>
  <w:p>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A63D73"/>
    <w:multiLevelType w:val="hybridMultilevel"/>
    <w:tmpl w:val="5FB8A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55704"/>
    <w:multiLevelType w:val="hybridMultilevel"/>
    <w:tmpl w:val="A90CDEE2"/>
    <w:lvl w:ilvl="0" w:tplc="993E8A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D7B25"/>
    <w:multiLevelType w:val="hybridMultilevel"/>
    <w:tmpl w:val="292A7FC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4745BA8"/>
    <w:multiLevelType w:val="hybridMultilevel"/>
    <w:tmpl w:val="08724D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15591"/>
    <w:multiLevelType w:val="hybridMultilevel"/>
    <w:tmpl w:val="C130E342"/>
    <w:lvl w:ilvl="0" w:tplc="04090001">
      <w:start w:val="1"/>
      <w:numFmt w:val="upperLetter"/>
      <w:lvlText w:val="%1."/>
      <w:lvlJc w:val="left"/>
      <w:pPr>
        <w:ind w:left="644"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 w15:restartNumberingAfterBreak="0">
    <w:nsid w:val="16846A78"/>
    <w:multiLevelType w:val="hybridMultilevel"/>
    <w:tmpl w:val="BD141868"/>
    <w:lvl w:ilvl="0" w:tplc="0418000D">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0" w15:restartNumberingAfterBreak="0">
    <w:nsid w:val="16FD2F50"/>
    <w:multiLevelType w:val="hybridMultilevel"/>
    <w:tmpl w:val="97C25858"/>
    <w:lvl w:ilvl="0" w:tplc="0409000B">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8D40FA"/>
    <w:multiLevelType w:val="hybridMultilevel"/>
    <w:tmpl w:val="07EE75C4"/>
    <w:lvl w:ilvl="0" w:tplc="0418000F">
      <w:start w:val="1"/>
      <w:numFmt w:val="decimal"/>
      <w:lvlText w:val="%1."/>
      <w:lvlJc w:val="left"/>
      <w:pPr>
        <w:ind w:left="720" w:hanging="720"/>
      </w:pPr>
      <w:rPr>
        <w:rFonts w:hint="default"/>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12" w15:restartNumberingAfterBreak="0">
    <w:nsid w:val="18594937"/>
    <w:multiLevelType w:val="hybridMultilevel"/>
    <w:tmpl w:val="07523D72"/>
    <w:lvl w:ilvl="0" w:tplc="5C1C21C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372E05"/>
    <w:multiLevelType w:val="hybridMultilevel"/>
    <w:tmpl w:val="DECCD94C"/>
    <w:lvl w:ilvl="0" w:tplc="0418000D">
      <w:start w:val="1"/>
      <w:numFmt w:val="upperLetter"/>
      <w:lvlText w:val="%1."/>
      <w:lvlJc w:val="left"/>
      <w:pPr>
        <w:ind w:left="720" w:hanging="360"/>
      </w:pPr>
      <w:rPr>
        <w:rFonts w:ascii="Trebuchet MS" w:hAnsi="Trebuchet M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4" w15:restartNumberingAfterBreak="0">
    <w:nsid w:val="1FBA5D53"/>
    <w:multiLevelType w:val="hybridMultilevel"/>
    <w:tmpl w:val="A6104F0C"/>
    <w:lvl w:ilvl="0" w:tplc="1FC4FB90">
      <w:start w:val="11"/>
      <w:numFmt w:val="bullet"/>
      <w:lvlText w:val="-"/>
      <w:lvlJc w:val="left"/>
      <w:pPr>
        <w:ind w:left="720" w:hanging="360"/>
      </w:pPr>
      <w:rPr>
        <w:rFonts w:ascii="Calibri" w:eastAsia="Times New Roman" w:hAnsi="Calibri" w:cs="Times New Roman"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5" w15:restartNumberingAfterBreak="0">
    <w:nsid w:val="2025588F"/>
    <w:multiLevelType w:val="hybridMultilevel"/>
    <w:tmpl w:val="494097E8"/>
    <w:lvl w:ilvl="0" w:tplc="B61AA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D0A09"/>
    <w:multiLevelType w:val="hybridMultilevel"/>
    <w:tmpl w:val="61684770"/>
    <w:lvl w:ilvl="0" w:tplc="04090001">
      <w:start w:val="1"/>
      <w:numFmt w:val="upp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211B321A"/>
    <w:multiLevelType w:val="hybridMultilevel"/>
    <w:tmpl w:val="9D52E194"/>
    <w:lvl w:ilvl="0" w:tplc="7476707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1336232"/>
    <w:multiLevelType w:val="hybridMultilevel"/>
    <w:tmpl w:val="1D5A48C6"/>
    <w:lvl w:ilvl="0" w:tplc="04090015">
      <w:start w:val="1"/>
      <w:numFmt w:val="lowerLetter"/>
      <w:lvlText w:val="%1)"/>
      <w:lvlJc w:val="left"/>
      <w:pPr>
        <w:tabs>
          <w:tab w:val="num" w:pos="1440"/>
        </w:tabs>
        <w:ind w:left="1440" w:hanging="360"/>
      </w:pPr>
      <w:rPr>
        <w:rFonts w:hint="default"/>
      </w:rPr>
    </w:lvl>
    <w:lvl w:ilvl="1" w:tplc="04090019">
      <w:start w:val="1"/>
      <w:numFmt w:val="decimal"/>
      <w:lvlText w:val="%2."/>
      <w:lvlJc w:val="left"/>
      <w:pPr>
        <w:tabs>
          <w:tab w:val="num" w:pos="2160"/>
        </w:tabs>
        <w:ind w:left="2160" w:hanging="360"/>
      </w:pPr>
      <w:rPr>
        <w:rFonts w:hint="default"/>
      </w:rPr>
    </w:lvl>
    <w:lvl w:ilvl="2" w:tplc="0409001B">
      <w:start w:val="1"/>
      <w:numFmt w:val="lowerLetter"/>
      <w:lvlText w:val="%3)"/>
      <w:lvlJc w:val="left"/>
      <w:pPr>
        <w:tabs>
          <w:tab w:val="num" w:pos="2880"/>
        </w:tabs>
        <w:ind w:left="2880" w:hanging="180"/>
      </w:pPr>
      <w:rPr>
        <w:rFonts w:hint="default"/>
      </w:rPr>
    </w:lvl>
    <w:lvl w:ilvl="3" w:tplc="0409000F">
      <w:start w:val="1"/>
      <w:numFmt w:val="lowerLetter"/>
      <w:lvlText w:val="%4."/>
      <w:lvlJc w:val="left"/>
      <w:pPr>
        <w:tabs>
          <w:tab w:val="num" w:pos="3600"/>
        </w:tabs>
        <w:ind w:left="3600" w:hanging="360"/>
      </w:pPr>
      <w:rPr>
        <w:rFonts w:hint="default"/>
      </w:rPr>
    </w:lvl>
    <w:lvl w:ilvl="4" w:tplc="04090019">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1B">
      <w:start w:val="2"/>
      <w:numFmt w:val="upperLetter"/>
      <w:lvlText w:val="%6."/>
      <w:lvlJc w:val="left"/>
      <w:pPr>
        <w:tabs>
          <w:tab w:val="num" w:pos="5220"/>
        </w:tabs>
        <w:ind w:left="5220" w:hanging="360"/>
      </w:pPr>
      <w:rPr>
        <w:rFonts w:hint="default"/>
      </w:r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3971EA1"/>
    <w:multiLevelType w:val="hybridMultilevel"/>
    <w:tmpl w:val="8B4452FE"/>
    <w:lvl w:ilvl="0" w:tplc="04090005">
      <w:start w:val="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30246"/>
    <w:multiLevelType w:val="hybridMultilevel"/>
    <w:tmpl w:val="A6D249B2"/>
    <w:lvl w:ilvl="0" w:tplc="5C1C21CA">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8143F0E"/>
    <w:multiLevelType w:val="hybridMultilevel"/>
    <w:tmpl w:val="0B029240"/>
    <w:lvl w:ilvl="0" w:tplc="146014B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2D0C5C30"/>
    <w:multiLevelType w:val="hybridMultilevel"/>
    <w:tmpl w:val="FC6684C8"/>
    <w:lvl w:ilvl="0" w:tplc="04180001">
      <w:start w:val="1"/>
      <w:numFmt w:val="bullet"/>
      <w:lvlText w:val=""/>
      <w:lvlJc w:val="left"/>
      <w:pPr>
        <w:ind w:left="360" w:hanging="360"/>
      </w:pPr>
      <w:rPr>
        <w:rFonts w:ascii="Symbol" w:hAnsi="Symbol" w:hint="default"/>
      </w:rPr>
    </w:lvl>
    <w:lvl w:ilvl="1" w:tplc="04180003">
      <w:numFmt w:val="bullet"/>
      <w:lvlText w:val="•"/>
      <w:lvlJc w:val="left"/>
      <w:pPr>
        <w:ind w:left="1440" w:hanging="720"/>
      </w:pPr>
      <w:rPr>
        <w:rFonts w:ascii="Trebuchet MS" w:eastAsia="Calibri"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31F12E18"/>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3368667C"/>
    <w:multiLevelType w:val="hybridMultilevel"/>
    <w:tmpl w:val="DFCC394E"/>
    <w:lvl w:ilvl="0" w:tplc="F8628EBC">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39649E4"/>
    <w:multiLevelType w:val="hybridMultilevel"/>
    <w:tmpl w:val="EB5CBD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BA321DA"/>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407A55C2"/>
    <w:multiLevelType w:val="hybridMultilevel"/>
    <w:tmpl w:val="B3203F54"/>
    <w:lvl w:ilvl="0" w:tplc="04090001">
      <w:start w:val="1"/>
      <w:numFmt w:val="bullet"/>
      <w:lvlText w:val=""/>
      <w:lvlJc w:val="left"/>
      <w:pPr>
        <w:ind w:left="360" w:hanging="360"/>
      </w:pPr>
      <w:rPr>
        <w:rFonts w:ascii="Wingdings" w:hAnsi="Wingdings" w:hint="default"/>
      </w:rPr>
    </w:lvl>
    <w:lvl w:ilvl="1" w:tplc="04090003">
      <w:start w:val="4"/>
      <w:numFmt w:val="bullet"/>
      <w:lvlText w:val="-"/>
      <w:lvlJc w:val="left"/>
      <w:pPr>
        <w:ind w:left="1080" w:hanging="360"/>
      </w:pPr>
      <w:rPr>
        <w:rFonts w:ascii="Trebuchet MS" w:eastAsia="Times New Roman" w:hAnsi="Trebuchet MS"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E81E0F"/>
    <w:multiLevelType w:val="hybridMultilevel"/>
    <w:tmpl w:val="DE3641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854B38"/>
    <w:multiLevelType w:val="hybridMultilevel"/>
    <w:tmpl w:val="87DA3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825CF"/>
    <w:multiLevelType w:val="hybridMultilevel"/>
    <w:tmpl w:val="5106EAE6"/>
    <w:lvl w:ilvl="0" w:tplc="11649742">
      <w:start w:val="1"/>
      <w:numFmt w:val="decimal"/>
      <w:lvlText w:val="%1."/>
      <w:lvlJc w:val="left"/>
      <w:pPr>
        <w:ind w:left="630" w:hanging="360"/>
      </w:pPr>
      <w:rPr>
        <w:sz w:val="24"/>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1" w15:restartNumberingAfterBreak="0">
    <w:nsid w:val="4E887A6D"/>
    <w:multiLevelType w:val="hybridMultilevel"/>
    <w:tmpl w:val="0A5480BC"/>
    <w:lvl w:ilvl="0" w:tplc="AFDABDE4">
      <w:numFmt w:val="bullet"/>
      <w:lvlText w:val="-"/>
      <w:lvlJc w:val="left"/>
      <w:pPr>
        <w:ind w:left="149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32" w15:restartNumberingAfterBreak="0">
    <w:nsid w:val="5476038B"/>
    <w:multiLevelType w:val="hybridMultilevel"/>
    <w:tmpl w:val="59DE29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7592DB6"/>
    <w:multiLevelType w:val="hybridMultilevel"/>
    <w:tmpl w:val="698C96BA"/>
    <w:lvl w:ilvl="0" w:tplc="75549A0E">
      <w:start w:val="1"/>
      <w:numFmt w:val="lowerLetter"/>
      <w:lvlText w:val="%1."/>
      <w:lvlJc w:val="left"/>
      <w:pPr>
        <w:ind w:left="360" w:hanging="360"/>
      </w:pPr>
    </w:lvl>
    <w:lvl w:ilvl="1" w:tplc="86CC9F28">
      <w:start w:val="1"/>
      <w:numFmt w:val="lowerLetter"/>
      <w:lvlText w:val="%2."/>
      <w:lvlJc w:val="left"/>
      <w:pPr>
        <w:ind w:left="1080" w:hanging="360"/>
      </w:pPr>
    </w:lvl>
    <w:lvl w:ilvl="2" w:tplc="36CEE2E6" w:tentative="1">
      <w:start w:val="1"/>
      <w:numFmt w:val="lowerRoman"/>
      <w:lvlText w:val="%3."/>
      <w:lvlJc w:val="right"/>
      <w:pPr>
        <w:ind w:left="1800" w:hanging="180"/>
      </w:pPr>
    </w:lvl>
    <w:lvl w:ilvl="3" w:tplc="4524FB2C" w:tentative="1">
      <w:start w:val="1"/>
      <w:numFmt w:val="decimal"/>
      <w:lvlText w:val="%4."/>
      <w:lvlJc w:val="left"/>
      <w:pPr>
        <w:ind w:left="2520" w:hanging="360"/>
      </w:pPr>
    </w:lvl>
    <w:lvl w:ilvl="4" w:tplc="55423B92" w:tentative="1">
      <w:start w:val="1"/>
      <w:numFmt w:val="lowerLetter"/>
      <w:lvlText w:val="%5."/>
      <w:lvlJc w:val="left"/>
      <w:pPr>
        <w:ind w:left="3240" w:hanging="360"/>
      </w:pPr>
    </w:lvl>
    <w:lvl w:ilvl="5" w:tplc="CF50CFAC" w:tentative="1">
      <w:start w:val="1"/>
      <w:numFmt w:val="lowerRoman"/>
      <w:lvlText w:val="%6."/>
      <w:lvlJc w:val="right"/>
      <w:pPr>
        <w:ind w:left="3960" w:hanging="180"/>
      </w:pPr>
    </w:lvl>
    <w:lvl w:ilvl="6" w:tplc="B16635B4" w:tentative="1">
      <w:start w:val="1"/>
      <w:numFmt w:val="decimal"/>
      <w:lvlText w:val="%7."/>
      <w:lvlJc w:val="left"/>
      <w:pPr>
        <w:ind w:left="4680" w:hanging="360"/>
      </w:pPr>
    </w:lvl>
    <w:lvl w:ilvl="7" w:tplc="BB505A64" w:tentative="1">
      <w:start w:val="1"/>
      <w:numFmt w:val="lowerLetter"/>
      <w:lvlText w:val="%8."/>
      <w:lvlJc w:val="left"/>
      <w:pPr>
        <w:ind w:left="5400" w:hanging="360"/>
      </w:pPr>
    </w:lvl>
    <w:lvl w:ilvl="8" w:tplc="3A089D70" w:tentative="1">
      <w:start w:val="1"/>
      <w:numFmt w:val="lowerRoman"/>
      <w:lvlText w:val="%9."/>
      <w:lvlJc w:val="right"/>
      <w:pPr>
        <w:ind w:left="6120" w:hanging="180"/>
      </w:pPr>
    </w:lvl>
  </w:abstractNum>
  <w:abstractNum w:abstractNumId="34"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15:restartNumberingAfterBreak="0">
    <w:nsid w:val="5A9E358C"/>
    <w:multiLevelType w:val="hybridMultilevel"/>
    <w:tmpl w:val="52FC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AC7FCE"/>
    <w:multiLevelType w:val="hybridMultilevel"/>
    <w:tmpl w:val="A828B08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EFA7776"/>
    <w:multiLevelType w:val="multilevel"/>
    <w:tmpl w:val="38687876"/>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38" w15:restartNumberingAfterBreak="0">
    <w:nsid w:val="5F1E5698"/>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5F337895"/>
    <w:multiLevelType w:val="hybridMultilevel"/>
    <w:tmpl w:val="47645D18"/>
    <w:lvl w:ilvl="0" w:tplc="04090017">
      <w:start w:val="1"/>
      <w:numFmt w:val="lowerLetter"/>
      <w:lvlText w:val="%1)"/>
      <w:lvlJc w:val="left"/>
      <w:pPr>
        <w:ind w:left="360" w:hanging="360"/>
      </w:pPr>
    </w:lvl>
    <w:lvl w:ilvl="1" w:tplc="5C1C21CA">
      <w:start w:val="1"/>
      <w:numFmt w:val="bullet"/>
      <w:lvlText w:val="-"/>
      <w:lvlJc w:val="left"/>
      <w:pPr>
        <w:ind w:left="1080" w:hanging="360"/>
      </w:pPr>
      <w:rPr>
        <w:rFonts w:ascii="Courier New" w:hAnsi="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AB641E"/>
    <w:multiLevelType w:val="hybridMultilevel"/>
    <w:tmpl w:val="3EE898B4"/>
    <w:lvl w:ilvl="0" w:tplc="275E8804">
      <w:start w:val="1"/>
      <w:numFmt w:val="lowerLetter"/>
      <w:lvlText w:val="%1."/>
      <w:lvlJc w:val="left"/>
      <w:pPr>
        <w:ind w:left="360" w:hanging="360"/>
      </w:pPr>
    </w:lvl>
    <w:lvl w:ilvl="1" w:tplc="838C2184" w:tentative="1">
      <w:start w:val="1"/>
      <w:numFmt w:val="lowerLetter"/>
      <w:lvlText w:val="%2."/>
      <w:lvlJc w:val="left"/>
      <w:pPr>
        <w:ind w:left="1080" w:hanging="360"/>
      </w:pPr>
    </w:lvl>
    <w:lvl w:ilvl="2" w:tplc="320C42D2" w:tentative="1">
      <w:start w:val="1"/>
      <w:numFmt w:val="lowerRoman"/>
      <w:lvlText w:val="%3."/>
      <w:lvlJc w:val="right"/>
      <w:pPr>
        <w:ind w:left="1800" w:hanging="180"/>
      </w:pPr>
    </w:lvl>
    <w:lvl w:ilvl="3" w:tplc="CB32FBE8" w:tentative="1">
      <w:start w:val="1"/>
      <w:numFmt w:val="decimal"/>
      <w:lvlText w:val="%4."/>
      <w:lvlJc w:val="left"/>
      <w:pPr>
        <w:ind w:left="2520" w:hanging="360"/>
      </w:pPr>
    </w:lvl>
    <w:lvl w:ilvl="4" w:tplc="A4802D2A" w:tentative="1">
      <w:start w:val="1"/>
      <w:numFmt w:val="lowerLetter"/>
      <w:lvlText w:val="%5."/>
      <w:lvlJc w:val="left"/>
      <w:pPr>
        <w:ind w:left="3240" w:hanging="360"/>
      </w:pPr>
    </w:lvl>
    <w:lvl w:ilvl="5" w:tplc="0812D764" w:tentative="1">
      <w:start w:val="1"/>
      <w:numFmt w:val="lowerRoman"/>
      <w:lvlText w:val="%6."/>
      <w:lvlJc w:val="right"/>
      <w:pPr>
        <w:ind w:left="3960" w:hanging="180"/>
      </w:pPr>
    </w:lvl>
    <w:lvl w:ilvl="6" w:tplc="B0309B24" w:tentative="1">
      <w:start w:val="1"/>
      <w:numFmt w:val="decimal"/>
      <w:lvlText w:val="%7."/>
      <w:lvlJc w:val="left"/>
      <w:pPr>
        <w:ind w:left="4680" w:hanging="360"/>
      </w:pPr>
    </w:lvl>
    <w:lvl w:ilvl="7" w:tplc="433010DC" w:tentative="1">
      <w:start w:val="1"/>
      <w:numFmt w:val="lowerLetter"/>
      <w:lvlText w:val="%8."/>
      <w:lvlJc w:val="left"/>
      <w:pPr>
        <w:ind w:left="5400" w:hanging="360"/>
      </w:pPr>
    </w:lvl>
    <w:lvl w:ilvl="8" w:tplc="2DB03A10" w:tentative="1">
      <w:start w:val="1"/>
      <w:numFmt w:val="lowerRoman"/>
      <w:lvlText w:val="%9."/>
      <w:lvlJc w:val="right"/>
      <w:pPr>
        <w:ind w:left="6120" w:hanging="180"/>
      </w:pPr>
    </w:lvl>
  </w:abstractNum>
  <w:abstractNum w:abstractNumId="41" w15:restartNumberingAfterBreak="0">
    <w:nsid w:val="5FBF75CC"/>
    <w:multiLevelType w:val="hybridMultilevel"/>
    <w:tmpl w:val="4B486C7E"/>
    <w:lvl w:ilvl="0" w:tplc="4852E8E2">
      <w:start w:val="1"/>
      <w:numFmt w:val="decimal"/>
      <w:lvlText w:val="%1."/>
      <w:lvlJc w:val="left"/>
      <w:pPr>
        <w:ind w:left="360" w:hanging="360"/>
      </w:pPr>
      <w:rPr>
        <w:rFonts w:eastAsia="SimSun" w:hint="default"/>
        <w:color w:val="auto"/>
      </w:rPr>
    </w:lvl>
    <w:lvl w:ilvl="1" w:tplc="D5F6ECD0" w:tentative="1">
      <w:start w:val="1"/>
      <w:numFmt w:val="lowerLetter"/>
      <w:lvlText w:val="%2."/>
      <w:lvlJc w:val="left"/>
      <w:pPr>
        <w:ind w:left="1080" w:hanging="360"/>
      </w:pPr>
    </w:lvl>
    <w:lvl w:ilvl="2" w:tplc="75641F6E" w:tentative="1">
      <w:start w:val="1"/>
      <w:numFmt w:val="lowerRoman"/>
      <w:lvlText w:val="%3."/>
      <w:lvlJc w:val="right"/>
      <w:pPr>
        <w:ind w:left="1800" w:hanging="180"/>
      </w:pPr>
    </w:lvl>
    <w:lvl w:ilvl="3" w:tplc="1A0EF0DA" w:tentative="1">
      <w:start w:val="1"/>
      <w:numFmt w:val="decimal"/>
      <w:lvlText w:val="%4."/>
      <w:lvlJc w:val="left"/>
      <w:pPr>
        <w:ind w:left="2520" w:hanging="360"/>
      </w:pPr>
    </w:lvl>
    <w:lvl w:ilvl="4" w:tplc="8A5455A0" w:tentative="1">
      <w:start w:val="1"/>
      <w:numFmt w:val="lowerLetter"/>
      <w:lvlText w:val="%5."/>
      <w:lvlJc w:val="left"/>
      <w:pPr>
        <w:ind w:left="3240" w:hanging="360"/>
      </w:pPr>
    </w:lvl>
    <w:lvl w:ilvl="5" w:tplc="3B826666" w:tentative="1">
      <w:start w:val="1"/>
      <w:numFmt w:val="lowerRoman"/>
      <w:lvlText w:val="%6."/>
      <w:lvlJc w:val="right"/>
      <w:pPr>
        <w:ind w:left="3960" w:hanging="180"/>
      </w:pPr>
    </w:lvl>
    <w:lvl w:ilvl="6" w:tplc="DF9C1124" w:tentative="1">
      <w:start w:val="1"/>
      <w:numFmt w:val="decimal"/>
      <w:lvlText w:val="%7."/>
      <w:lvlJc w:val="left"/>
      <w:pPr>
        <w:ind w:left="4680" w:hanging="360"/>
      </w:pPr>
    </w:lvl>
    <w:lvl w:ilvl="7" w:tplc="F9E42398" w:tentative="1">
      <w:start w:val="1"/>
      <w:numFmt w:val="lowerLetter"/>
      <w:lvlText w:val="%8."/>
      <w:lvlJc w:val="left"/>
      <w:pPr>
        <w:ind w:left="5400" w:hanging="360"/>
      </w:pPr>
    </w:lvl>
    <w:lvl w:ilvl="8" w:tplc="F61AD0EE" w:tentative="1">
      <w:start w:val="1"/>
      <w:numFmt w:val="lowerRoman"/>
      <w:lvlText w:val="%9."/>
      <w:lvlJc w:val="right"/>
      <w:pPr>
        <w:ind w:left="6120" w:hanging="180"/>
      </w:pPr>
    </w:lvl>
  </w:abstractNum>
  <w:abstractNum w:abstractNumId="42" w15:restartNumberingAfterBreak="0">
    <w:nsid w:val="60BF5DCA"/>
    <w:multiLevelType w:val="hybridMultilevel"/>
    <w:tmpl w:val="B5BA1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5F04A6"/>
    <w:multiLevelType w:val="hybridMultilevel"/>
    <w:tmpl w:val="18D4FA04"/>
    <w:lvl w:ilvl="0" w:tplc="F360315E">
      <w:start w:val="1"/>
      <w:numFmt w:val="bullet"/>
      <w:lvlText w:val=""/>
      <w:lvlJc w:val="left"/>
      <w:pPr>
        <w:ind w:left="1353" w:hanging="360"/>
      </w:pPr>
      <w:rPr>
        <w:rFonts w:ascii="Wingdings" w:hAnsi="Wingdings" w:hint="default"/>
      </w:rPr>
    </w:lvl>
    <w:lvl w:ilvl="1" w:tplc="984289D8" w:tentative="1">
      <w:start w:val="1"/>
      <w:numFmt w:val="lowerLetter"/>
      <w:lvlText w:val="%2."/>
      <w:lvlJc w:val="left"/>
      <w:pPr>
        <w:ind w:left="1800" w:hanging="360"/>
      </w:pPr>
    </w:lvl>
    <w:lvl w:ilvl="2" w:tplc="04180005" w:tentative="1">
      <w:start w:val="1"/>
      <w:numFmt w:val="lowerRoman"/>
      <w:lvlText w:val="%3."/>
      <w:lvlJc w:val="right"/>
      <w:pPr>
        <w:ind w:left="2520" w:hanging="180"/>
      </w:pPr>
    </w:lvl>
    <w:lvl w:ilvl="3" w:tplc="04180001" w:tentative="1">
      <w:start w:val="1"/>
      <w:numFmt w:val="decimal"/>
      <w:lvlText w:val="%4."/>
      <w:lvlJc w:val="left"/>
      <w:pPr>
        <w:ind w:left="3240" w:hanging="360"/>
      </w:pPr>
    </w:lvl>
    <w:lvl w:ilvl="4" w:tplc="04180003" w:tentative="1">
      <w:start w:val="1"/>
      <w:numFmt w:val="lowerLetter"/>
      <w:lvlText w:val="%5."/>
      <w:lvlJc w:val="left"/>
      <w:pPr>
        <w:ind w:left="3960" w:hanging="360"/>
      </w:pPr>
    </w:lvl>
    <w:lvl w:ilvl="5" w:tplc="04180005" w:tentative="1">
      <w:start w:val="1"/>
      <w:numFmt w:val="lowerRoman"/>
      <w:lvlText w:val="%6."/>
      <w:lvlJc w:val="right"/>
      <w:pPr>
        <w:ind w:left="4680" w:hanging="180"/>
      </w:pPr>
    </w:lvl>
    <w:lvl w:ilvl="6" w:tplc="04180001" w:tentative="1">
      <w:start w:val="1"/>
      <w:numFmt w:val="decimal"/>
      <w:lvlText w:val="%7."/>
      <w:lvlJc w:val="left"/>
      <w:pPr>
        <w:ind w:left="5400" w:hanging="360"/>
      </w:pPr>
    </w:lvl>
    <w:lvl w:ilvl="7" w:tplc="04180003" w:tentative="1">
      <w:start w:val="1"/>
      <w:numFmt w:val="lowerLetter"/>
      <w:lvlText w:val="%8."/>
      <w:lvlJc w:val="left"/>
      <w:pPr>
        <w:ind w:left="6120" w:hanging="360"/>
      </w:pPr>
    </w:lvl>
    <w:lvl w:ilvl="8" w:tplc="04180005" w:tentative="1">
      <w:start w:val="1"/>
      <w:numFmt w:val="lowerRoman"/>
      <w:lvlText w:val="%9."/>
      <w:lvlJc w:val="right"/>
      <w:pPr>
        <w:ind w:left="6840" w:hanging="180"/>
      </w:pPr>
    </w:lvl>
  </w:abstractNum>
  <w:abstractNum w:abstractNumId="44" w15:restartNumberingAfterBreak="0">
    <w:nsid w:val="63FC169F"/>
    <w:multiLevelType w:val="hybridMultilevel"/>
    <w:tmpl w:val="99026B96"/>
    <w:lvl w:ilvl="0" w:tplc="04180001">
      <w:start w:val="1"/>
      <w:numFmt w:val="lowerLetter"/>
      <w:lvlText w:val="%1)"/>
      <w:lvlJc w:val="left"/>
      <w:pPr>
        <w:ind w:left="540" w:hanging="360"/>
      </w:pPr>
      <w:rPr>
        <w:rFonts w:hint="default"/>
      </w:rPr>
    </w:lvl>
    <w:lvl w:ilvl="1" w:tplc="04180003" w:tentative="1">
      <w:start w:val="1"/>
      <w:numFmt w:val="lowerLetter"/>
      <w:lvlText w:val="%2."/>
      <w:lvlJc w:val="left"/>
      <w:pPr>
        <w:ind w:left="1260" w:hanging="360"/>
      </w:pPr>
    </w:lvl>
    <w:lvl w:ilvl="2" w:tplc="04180005" w:tentative="1">
      <w:start w:val="1"/>
      <w:numFmt w:val="lowerRoman"/>
      <w:lvlText w:val="%3."/>
      <w:lvlJc w:val="right"/>
      <w:pPr>
        <w:ind w:left="1980" w:hanging="180"/>
      </w:pPr>
    </w:lvl>
    <w:lvl w:ilvl="3" w:tplc="04180001" w:tentative="1">
      <w:start w:val="1"/>
      <w:numFmt w:val="decimal"/>
      <w:lvlText w:val="%4."/>
      <w:lvlJc w:val="left"/>
      <w:pPr>
        <w:ind w:left="2700" w:hanging="360"/>
      </w:pPr>
    </w:lvl>
    <w:lvl w:ilvl="4" w:tplc="04180003" w:tentative="1">
      <w:start w:val="1"/>
      <w:numFmt w:val="lowerLetter"/>
      <w:lvlText w:val="%5."/>
      <w:lvlJc w:val="left"/>
      <w:pPr>
        <w:ind w:left="3420" w:hanging="360"/>
      </w:pPr>
    </w:lvl>
    <w:lvl w:ilvl="5" w:tplc="04180005" w:tentative="1">
      <w:start w:val="1"/>
      <w:numFmt w:val="lowerRoman"/>
      <w:lvlText w:val="%6."/>
      <w:lvlJc w:val="right"/>
      <w:pPr>
        <w:ind w:left="4140" w:hanging="180"/>
      </w:pPr>
    </w:lvl>
    <w:lvl w:ilvl="6" w:tplc="04180001" w:tentative="1">
      <w:start w:val="1"/>
      <w:numFmt w:val="decimal"/>
      <w:lvlText w:val="%7."/>
      <w:lvlJc w:val="left"/>
      <w:pPr>
        <w:ind w:left="4860" w:hanging="360"/>
      </w:pPr>
    </w:lvl>
    <w:lvl w:ilvl="7" w:tplc="04180003" w:tentative="1">
      <w:start w:val="1"/>
      <w:numFmt w:val="lowerLetter"/>
      <w:lvlText w:val="%8."/>
      <w:lvlJc w:val="left"/>
      <w:pPr>
        <w:ind w:left="5580" w:hanging="360"/>
      </w:pPr>
    </w:lvl>
    <w:lvl w:ilvl="8" w:tplc="04180005" w:tentative="1">
      <w:start w:val="1"/>
      <w:numFmt w:val="lowerRoman"/>
      <w:lvlText w:val="%9."/>
      <w:lvlJc w:val="right"/>
      <w:pPr>
        <w:ind w:left="6300" w:hanging="180"/>
      </w:pPr>
    </w:lvl>
  </w:abstractNum>
  <w:abstractNum w:abstractNumId="45" w15:restartNumberingAfterBreak="0">
    <w:nsid w:val="682F2933"/>
    <w:multiLevelType w:val="hybridMultilevel"/>
    <w:tmpl w:val="916EB142"/>
    <w:lvl w:ilvl="0" w:tplc="04180001">
      <w:start w:val="1"/>
      <w:numFmt w:val="bullet"/>
      <w:lvlText w:val=""/>
      <w:lvlJc w:val="left"/>
      <w:pPr>
        <w:ind w:left="788" w:hanging="360"/>
      </w:pPr>
      <w:rPr>
        <w:rFonts w:ascii="Symbol" w:hAnsi="Symbol" w:hint="default"/>
      </w:rPr>
    </w:lvl>
    <w:lvl w:ilvl="1" w:tplc="7ED67824">
      <w:numFmt w:val="bullet"/>
      <w:lvlText w:val="•"/>
      <w:lvlJc w:val="left"/>
      <w:pPr>
        <w:ind w:left="1508" w:hanging="360"/>
      </w:pPr>
      <w:rPr>
        <w:rFonts w:ascii="Trebuchet MS" w:eastAsia="Times New Roman" w:hAnsi="Trebuchet MS" w:cs="Times New Roman" w:hint="default"/>
        <w:sz w:val="20"/>
      </w:rPr>
    </w:lvl>
    <w:lvl w:ilvl="2" w:tplc="04180005" w:tentative="1">
      <w:start w:val="1"/>
      <w:numFmt w:val="bullet"/>
      <w:lvlText w:val=""/>
      <w:lvlJc w:val="left"/>
      <w:pPr>
        <w:ind w:left="2228" w:hanging="360"/>
      </w:pPr>
      <w:rPr>
        <w:rFonts w:ascii="Wingdings" w:hAnsi="Wingdings" w:hint="default"/>
      </w:rPr>
    </w:lvl>
    <w:lvl w:ilvl="3" w:tplc="04180001" w:tentative="1">
      <w:start w:val="1"/>
      <w:numFmt w:val="bullet"/>
      <w:lvlText w:val=""/>
      <w:lvlJc w:val="left"/>
      <w:pPr>
        <w:ind w:left="2948" w:hanging="360"/>
      </w:pPr>
      <w:rPr>
        <w:rFonts w:ascii="Symbol" w:hAnsi="Symbol" w:hint="default"/>
      </w:rPr>
    </w:lvl>
    <w:lvl w:ilvl="4" w:tplc="04180003" w:tentative="1">
      <w:start w:val="1"/>
      <w:numFmt w:val="bullet"/>
      <w:lvlText w:val="o"/>
      <w:lvlJc w:val="left"/>
      <w:pPr>
        <w:ind w:left="3668" w:hanging="360"/>
      </w:pPr>
      <w:rPr>
        <w:rFonts w:ascii="Courier New" w:hAnsi="Courier New" w:cs="Courier New" w:hint="default"/>
      </w:rPr>
    </w:lvl>
    <w:lvl w:ilvl="5" w:tplc="04180005" w:tentative="1">
      <w:start w:val="1"/>
      <w:numFmt w:val="bullet"/>
      <w:lvlText w:val=""/>
      <w:lvlJc w:val="left"/>
      <w:pPr>
        <w:ind w:left="4388" w:hanging="360"/>
      </w:pPr>
      <w:rPr>
        <w:rFonts w:ascii="Wingdings" w:hAnsi="Wingdings" w:hint="default"/>
      </w:rPr>
    </w:lvl>
    <w:lvl w:ilvl="6" w:tplc="04180001" w:tentative="1">
      <w:start w:val="1"/>
      <w:numFmt w:val="bullet"/>
      <w:lvlText w:val=""/>
      <w:lvlJc w:val="left"/>
      <w:pPr>
        <w:ind w:left="5108" w:hanging="360"/>
      </w:pPr>
      <w:rPr>
        <w:rFonts w:ascii="Symbol" w:hAnsi="Symbol" w:hint="default"/>
      </w:rPr>
    </w:lvl>
    <w:lvl w:ilvl="7" w:tplc="04180003" w:tentative="1">
      <w:start w:val="1"/>
      <w:numFmt w:val="bullet"/>
      <w:lvlText w:val="o"/>
      <w:lvlJc w:val="left"/>
      <w:pPr>
        <w:ind w:left="5828" w:hanging="360"/>
      </w:pPr>
      <w:rPr>
        <w:rFonts w:ascii="Courier New" w:hAnsi="Courier New" w:cs="Courier New" w:hint="default"/>
      </w:rPr>
    </w:lvl>
    <w:lvl w:ilvl="8" w:tplc="04180005" w:tentative="1">
      <w:start w:val="1"/>
      <w:numFmt w:val="bullet"/>
      <w:lvlText w:val=""/>
      <w:lvlJc w:val="left"/>
      <w:pPr>
        <w:ind w:left="6548" w:hanging="360"/>
      </w:pPr>
      <w:rPr>
        <w:rFonts w:ascii="Wingdings" w:hAnsi="Wingdings" w:hint="default"/>
      </w:rPr>
    </w:lvl>
  </w:abstractNum>
  <w:abstractNum w:abstractNumId="46" w15:restartNumberingAfterBreak="0">
    <w:nsid w:val="684C0B9F"/>
    <w:multiLevelType w:val="hybridMultilevel"/>
    <w:tmpl w:val="2CEA9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6021C7"/>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6D1D3D69"/>
    <w:multiLevelType w:val="hybridMultilevel"/>
    <w:tmpl w:val="262260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DC320EE"/>
    <w:multiLevelType w:val="hybridMultilevel"/>
    <w:tmpl w:val="0052C7E8"/>
    <w:lvl w:ilvl="0" w:tplc="04090001">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6E0D3338"/>
    <w:multiLevelType w:val="multilevel"/>
    <w:tmpl w:val="506C9DC8"/>
    <w:lvl w:ilvl="0">
      <w:start w:val="1"/>
      <w:numFmt w:val="bullet"/>
      <w:lvlText w:val=""/>
      <w:lvlJc w:val="left"/>
      <w:pPr>
        <w:ind w:left="990" w:hanging="360"/>
      </w:pPr>
      <w:rPr>
        <w:rFonts w:ascii="Wingdings" w:hAnsi="Wingdings" w:hint="default"/>
        <w:b/>
        <w:sz w:val="24"/>
        <w:szCs w:val="24"/>
      </w:rPr>
    </w:lvl>
    <w:lvl w:ilvl="1">
      <w:start w:val="1"/>
      <w:numFmt w:val="decimal"/>
      <w:lvlText w:val="4.%2"/>
      <w:lvlJc w:val="left"/>
      <w:pPr>
        <w:ind w:left="896" w:hanging="432"/>
      </w:pPr>
      <w:rPr>
        <w:rFonts w:hint="default"/>
        <w:sz w:val="24"/>
        <w:szCs w:val="24"/>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51" w15:restartNumberingAfterBreak="0">
    <w:nsid w:val="708566EC"/>
    <w:multiLevelType w:val="hybridMultilevel"/>
    <w:tmpl w:val="89669BF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091319D"/>
    <w:multiLevelType w:val="hybridMultilevel"/>
    <w:tmpl w:val="3B78E0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5840FB8"/>
    <w:multiLevelType w:val="hybridMultilevel"/>
    <w:tmpl w:val="0748BF16"/>
    <w:lvl w:ilvl="0" w:tplc="0418000D">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4" w15:restartNumberingAfterBreak="0">
    <w:nsid w:val="76451381"/>
    <w:multiLevelType w:val="hybridMultilevel"/>
    <w:tmpl w:val="C04EED8C"/>
    <w:lvl w:ilvl="0" w:tplc="4B9E5C70">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7E351A43"/>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6" w15:restartNumberingAfterBreak="0">
    <w:nsid w:val="7EBF3511"/>
    <w:multiLevelType w:val="hybridMultilevel"/>
    <w:tmpl w:val="40D0D4B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967543"/>
    <w:multiLevelType w:val="multilevel"/>
    <w:tmpl w:val="AEA232C2"/>
    <w:lvl w:ilvl="0">
      <w:start w:val="1"/>
      <w:numFmt w:val="bullet"/>
      <w:lvlText w:val=""/>
      <w:lvlJc w:val="left"/>
      <w:pPr>
        <w:ind w:left="990" w:hanging="360"/>
      </w:pPr>
      <w:rPr>
        <w:rFonts w:ascii="Wingdings" w:hAnsi="Wingdings" w:hint="default"/>
        <w:b/>
        <w:sz w:val="24"/>
        <w:szCs w:val="24"/>
      </w:rPr>
    </w:lvl>
    <w:lvl w:ilvl="1">
      <w:start w:val="1"/>
      <w:numFmt w:val="decimal"/>
      <w:lvlText w:val="4.%2"/>
      <w:lvlJc w:val="left"/>
      <w:pPr>
        <w:ind w:left="896" w:hanging="432"/>
      </w:pPr>
      <w:rPr>
        <w:rFonts w:hint="default"/>
        <w:sz w:val="24"/>
        <w:szCs w:val="24"/>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4"/>
  </w:num>
  <w:num w:numId="2">
    <w:abstractNumId w:val="56"/>
  </w:num>
  <w:num w:numId="3">
    <w:abstractNumId w:val="14"/>
  </w:num>
  <w:num w:numId="4">
    <w:abstractNumId w:val="13"/>
  </w:num>
  <w:num w:numId="5">
    <w:abstractNumId w:val="17"/>
  </w:num>
  <w:num w:numId="6">
    <w:abstractNumId w:val="46"/>
  </w:num>
  <w:num w:numId="7">
    <w:abstractNumId w:val="3"/>
  </w:num>
  <w:num w:numId="8">
    <w:abstractNumId w:val="42"/>
  </w:num>
  <w:num w:numId="9">
    <w:abstractNumId w:val="5"/>
  </w:num>
  <w:num w:numId="10">
    <w:abstractNumId w:val="29"/>
  </w:num>
  <w:num w:numId="11">
    <w:abstractNumId w:val="7"/>
  </w:num>
  <w:num w:numId="12">
    <w:abstractNumId w:val="6"/>
  </w:num>
  <w:num w:numId="13">
    <w:abstractNumId w:val="16"/>
  </w:num>
  <w:num w:numId="14">
    <w:abstractNumId w:val="21"/>
  </w:num>
  <w:num w:numId="15">
    <w:abstractNumId w:val="41"/>
  </w:num>
  <w:num w:numId="16">
    <w:abstractNumId w:val="23"/>
  </w:num>
  <w:num w:numId="17">
    <w:abstractNumId w:val="30"/>
  </w:num>
  <w:num w:numId="18">
    <w:abstractNumId w:val="55"/>
  </w:num>
  <w:num w:numId="19">
    <w:abstractNumId w:val="26"/>
  </w:num>
  <w:num w:numId="20">
    <w:abstractNumId w:val="38"/>
  </w:num>
  <w:num w:numId="21">
    <w:abstractNumId w:val="47"/>
  </w:num>
  <w:num w:numId="22">
    <w:abstractNumId w:val="27"/>
  </w:num>
  <w:num w:numId="23">
    <w:abstractNumId w:val="11"/>
  </w:num>
  <w:num w:numId="24">
    <w:abstractNumId w:val="10"/>
  </w:num>
  <w:num w:numId="25">
    <w:abstractNumId w:val="19"/>
  </w:num>
  <w:num w:numId="26">
    <w:abstractNumId w:val="22"/>
  </w:num>
  <w:num w:numId="27">
    <w:abstractNumId w:val="40"/>
  </w:num>
  <w:num w:numId="28">
    <w:abstractNumId w:val="33"/>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9"/>
  </w:num>
  <w:num w:numId="33">
    <w:abstractNumId w:val="51"/>
  </w:num>
  <w:num w:numId="34">
    <w:abstractNumId w:val="31"/>
  </w:num>
  <w:num w:numId="35">
    <w:abstractNumId w:val="45"/>
  </w:num>
  <w:num w:numId="36">
    <w:abstractNumId w:val="24"/>
  </w:num>
  <w:num w:numId="37">
    <w:abstractNumId w:val="34"/>
  </w:num>
  <w:num w:numId="38">
    <w:abstractNumId w:val="20"/>
  </w:num>
  <w:num w:numId="39">
    <w:abstractNumId w:val="37"/>
  </w:num>
  <w:num w:numId="40">
    <w:abstractNumId w:val="39"/>
  </w:num>
  <w:num w:numId="41">
    <w:abstractNumId w:val="12"/>
  </w:num>
  <w:num w:numId="42">
    <w:abstractNumId w:val="8"/>
  </w:num>
  <w:num w:numId="43">
    <w:abstractNumId w:val="49"/>
  </w:num>
  <w:num w:numId="44">
    <w:abstractNumId w:val="18"/>
  </w:num>
  <w:num w:numId="45">
    <w:abstractNumId w:val="54"/>
  </w:num>
  <w:num w:numId="46">
    <w:abstractNumId w:val="43"/>
  </w:num>
  <w:num w:numId="47">
    <w:abstractNumId w:val="15"/>
  </w:num>
  <w:num w:numId="48">
    <w:abstractNumId w:val="2"/>
  </w:num>
  <w:num w:numId="49">
    <w:abstractNumId w:val="0"/>
  </w:num>
  <w:num w:numId="50">
    <w:abstractNumId w:val="35"/>
  </w:num>
  <w:num w:numId="51">
    <w:abstractNumId w:val="28"/>
  </w:num>
  <w:num w:numId="52">
    <w:abstractNumId w:val="36"/>
  </w:num>
  <w:num w:numId="53">
    <w:abstractNumId w:val="52"/>
  </w:num>
  <w:num w:numId="54">
    <w:abstractNumId w:val="25"/>
  </w:num>
  <w:num w:numId="55">
    <w:abstractNumId w:val="50"/>
  </w:num>
  <w:num w:numId="56">
    <w:abstractNumId w:val="57"/>
  </w:num>
  <w:num w:numId="57">
    <w:abstractNumId w:val="48"/>
  </w:num>
  <w:num w:numId="58">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CD3AC3-1336-41C3-B74F-A1495ED9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val="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pPr>
      <w:tabs>
        <w:tab w:val="right" w:leader="dot" w:pos="9356"/>
      </w:tabs>
      <w:spacing w:after="100"/>
      <w:ind w:left="270" w:right="281"/>
    </w:pPr>
  </w:style>
  <w:style w:type="paragraph" w:styleId="NoSpacing">
    <w:name w:val="No Spacing"/>
    <w:uiPriority w:val="1"/>
    <w:qFormat/>
    <w:pPr>
      <w:spacing w:after="0" w:line="240" w:lineRule="auto"/>
      <w:jc w:val="both"/>
    </w:pPr>
    <w:rPr>
      <w:rFonts w:ascii="Tahoma" w:eastAsia="Calibri" w:hAnsi="Tahoma" w:cs="Times New Roman"/>
      <w:sz w:val="24"/>
      <w:szCs w:val="24"/>
      <w:lang w:eastAsia="ro-RO"/>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Bullet,Antes de enumeración"/>
    <w:basedOn w:val="Normal"/>
    <w:link w:val="ListParagraphChar"/>
    <w:uiPriority w:val="34"/>
    <w:qFormat/>
    <w:pPr>
      <w:ind w:left="720"/>
      <w:contextualSpacing/>
    </w:pPr>
    <w:rPr>
      <w:sz w:val="20"/>
      <w:szCs w:val="20"/>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Pr>
      <w:rFonts w:ascii="Calibri" w:eastAsia="Calibri" w:hAnsi="Calibri" w:cs="Times New Roman"/>
      <w:sz w:val="20"/>
      <w:szCs w:val="20"/>
      <w:lang w:val="en-US"/>
    </w:rPr>
  </w:style>
  <w:style w:type="paragraph" w:styleId="BodyText">
    <w:name w:val="Body Text"/>
    <w:basedOn w:val="Normal"/>
    <w:link w:val="BodyTextChar"/>
    <w:uiPriority w:val="1"/>
    <w:qFormat/>
    <w:pPr>
      <w:widowControl w:val="0"/>
      <w:spacing w:after="0" w:line="240" w:lineRule="auto"/>
      <w:ind w:left="112"/>
    </w:pPr>
    <w:rPr>
      <w:rFonts w:cstheme="minorBidi"/>
      <w:sz w:val="24"/>
      <w:szCs w:val="24"/>
    </w:rPr>
  </w:style>
  <w:style w:type="character" w:customStyle="1" w:styleId="BodyTextChar">
    <w:name w:val="Body Text Char"/>
    <w:basedOn w:val="DefaultParagraphFont"/>
    <w:link w:val="BodyText"/>
    <w:uiPriority w:val="1"/>
    <w:rPr>
      <w:rFonts w:ascii="Calibri" w:eastAsia="Calibri" w:hAnsi="Calibri"/>
      <w:sz w:val="24"/>
      <w:szCs w:val="24"/>
      <w:lang w:val="en-US"/>
    </w:rPr>
  </w:style>
  <w:style w:type="paragraph" w:customStyle="1" w:styleId="TableParagraph">
    <w:name w:val="Table Paragraph"/>
    <w:basedOn w:val="Normal"/>
    <w:uiPriority w:val="1"/>
    <w:qFormat/>
    <w:pPr>
      <w:widowControl w:val="0"/>
      <w:spacing w:after="0" w:line="240" w:lineRule="auto"/>
    </w:pPr>
    <w:rPr>
      <w:rFonts w:asciiTheme="minorHAnsi" w:eastAsiaTheme="minorHAnsi" w:hAnsiTheme="minorHAnsi" w:cstheme="minorBidi"/>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nhideWhenUse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rPr>
      <w:rFonts w:ascii="Calibri" w:eastAsia="Calibri" w:hAnsi="Calibri" w:cs="Times New Roman"/>
      <w:sz w:val="20"/>
      <w:szCs w:val="20"/>
      <w:lang w:val="en-US"/>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
    <w:link w:val="BVIfnrChar1Char"/>
    <w:unhideWhenUsed/>
    <w:qFormat/>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pPr>
      <w:spacing w:after="160" w:line="240" w:lineRule="exact"/>
    </w:pPr>
    <w:rPr>
      <w:rFonts w:asciiTheme="minorHAnsi" w:eastAsiaTheme="minorHAnsi" w:hAnsiTheme="minorHAnsi" w:cstheme="minorBidi"/>
      <w:vertAlign w:val="superscript"/>
      <w:lang w:val="ro-RO"/>
    </w:rPr>
  </w:style>
  <w:style w:type="paragraph" w:customStyle="1" w:styleId="Normal1">
    <w:name w:val="Normal1"/>
    <w:pPr>
      <w:widowControl w:val="0"/>
    </w:pPr>
    <w:rPr>
      <w:rFonts w:ascii="Calibri" w:eastAsia="Calibri" w:hAnsi="Calibri" w:cs="Calibri"/>
      <w:color w:val="000000"/>
      <w:lang w:eastAsia="ro-RO"/>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b/>
      <w:bCs/>
      <w:snapToGrid w:val="0"/>
      <w:sz w:val="20"/>
      <w:szCs w:val="24"/>
      <w:lang w:val="ro-RO"/>
    </w:rPr>
  </w:style>
  <w:style w:type="character" w:customStyle="1" w:styleId="rvts7">
    <w:name w:val="rvts7"/>
    <w:basedOn w:val="DefaultParagraphFont"/>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bullet">
    <w:name w:val="bullet"/>
    <w:basedOn w:val="Normal"/>
    <w:pPr>
      <w:tabs>
        <w:tab w:val="num" w:pos="720"/>
      </w:tabs>
      <w:spacing w:before="120" w:after="120" w:line="240" w:lineRule="auto"/>
      <w:ind w:left="720" w:hanging="360"/>
      <w:jc w:val="both"/>
    </w:pPr>
    <w:rPr>
      <w:rFonts w:ascii="Trebuchet MS" w:eastAsia="Times New Roman" w:hAnsi="Trebuchet MS" w:cs="Arial"/>
      <w:sz w:val="20"/>
      <w:szCs w:val="24"/>
      <w:lang w:val="ro-RO"/>
    </w:rPr>
  </w:style>
  <w:style w:type="paragraph" w:styleId="TOC8">
    <w:name w:val="toc 8"/>
    <w:basedOn w:val="Normal"/>
    <w:next w:val="Normal"/>
    <w:autoRedefine/>
    <w:uiPriority w:val="39"/>
    <w:pPr>
      <w:tabs>
        <w:tab w:val="num" w:pos="3600"/>
      </w:tabs>
      <w:spacing w:before="120" w:after="120" w:line="240" w:lineRule="auto"/>
      <w:ind w:left="3600" w:hanging="360"/>
      <w:jc w:val="both"/>
    </w:pPr>
    <w:rPr>
      <w:rFonts w:ascii="Trebuchet MS" w:eastAsia="Times New Roman" w:hAnsi="Trebuchet MS"/>
      <w:sz w:val="20"/>
      <w:szCs w:val="24"/>
      <w:lang w:val="ro-RO"/>
    </w:rPr>
  </w:style>
  <w:style w:type="paragraph" w:styleId="Subtitle">
    <w:name w:val="Subtitle"/>
    <w:basedOn w:val="Normal"/>
    <w:next w:val="Normal"/>
    <w:link w:val="SubtitleChar"/>
    <w:uiPriority w:val="11"/>
    <w:qFormat/>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color w:val="4F81BD"/>
      <w:spacing w:val="15"/>
      <w:sz w:val="24"/>
      <w:szCs w:val="24"/>
      <w:lang w:val="en-US"/>
    </w:rPr>
  </w:style>
  <w:style w:type="paragraph" w:customStyle="1" w:styleId="Head1-Art">
    <w:name w:val="Head1-Art"/>
    <w:basedOn w:val="Normal"/>
    <w:pPr>
      <w:numPr>
        <w:numId w:val="48"/>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pPr>
      <w:numPr>
        <w:ilvl w:val="1"/>
      </w:numPr>
    </w:pPr>
    <w:rPr>
      <w:b w:val="0"/>
      <w:bCs w:val="0"/>
      <w:caps w:val="0"/>
    </w:rPr>
  </w:style>
  <w:style w:type="paragraph" w:customStyle="1" w:styleId="Head3-Bullet">
    <w:name w:val="Head3-Bullet"/>
    <w:basedOn w:val="Head2-Alin"/>
    <w:pPr>
      <w:numPr>
        <w:ilvl w:val="2"/>
      </w:numPr>
    </w:pPr>
  </w:style>
  <w:style w:type="paragraph" w:customStyle="1" w:styleId="Head4-Subsect">
    <w:name w:val="Head4-Subsect"/>
    <w:basedOn w:val="Head3-Bullet"/>
    <w:pPr>
      <w:numPr>
        <w:ilvl w:val="3"/>
      </w:numPr>
    </w:pPr>
    <w:rPr>
      <w:b/>
      <w:bCs/>
    </w:rPr>
  </w:style>
  <w:style w:type="paragraph" w:customStyle="1" w:styleId="Head5-Subsect">
    <w:name w:val="Head5-Subsect"/>
    <w:basedOn w:val="Head4-Subsect"/>
    <w:pPr>
      <w:numPr>
        <w:ilvl w:val="4"/>
      </w:numPr>
    </w:pPr>
  </w:style>
  <w:style w:type="paragraph" w:styleId="ListBullet2">
    <w:name w:val="List Bullet 2"/>
    <w:basedOn w:val="Normal"/>
    <w:pPr>
      <w:numPr>
        <w:numId w:val="49"/>
      </w:numPr>
      <w:spacing w:after="0" w:line="240" w:lineRule="auto"/>
      <w:contextualSpacing/>
    </w:pPr>
    <w:rPr>
      <w:rFonts w:ascii="Times New Roman" w:eastAsia="Times New Roman" w:hAnsi="Times New Roman"/>
      <w:sz w:val="24"/>
      <w:szCs w:val="24"/>
      <w:lang w:val="ro-R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paragraph" w:customStyle="1" w:styleId="nospacing0">
    <w:name w:val="nospacing"/>
    <w:basedOn w:val="Normal"/>
    <w:pPr>
      <w:spacing w:after="0" w:line="240" w:lineRule="auto"/>
    </w:pPr>
    <w:rPr>
      <w:rFonts w:ascii="Times New Roman" w:hAnsi="Times New Roman"/>
      <w:sz w:val="24"/>
      <w:szCs w:val="24"/>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sden">
    <w:name w:val="s_den"/>
    <w:basedOn w:val="DefaultParagraphFont"/>
  </w:style>
  <w:style w:type="character" w:customStyle="1" w:styleId="spar">
    <w:name w:val="s_par"/>
    <w:basedOn w:val="DefaultParagraphFont"/>
  </w:style>
  <w:style w:type="character" w:styleId="Strong">
    <w:name w:val="Strong"/>
    <w:uiPriority w:val="22"/>
    <w:qFormat/>
    <w:rPr>
      <w:rFonts w:ascii="Times New Roman" w:hAnsi="Times New Roman" w:cs="Times New Roman" w:hint="default"/>
      <w:b/>
      <w:bCs/>
    </w:rPr>
  </w:style>
  <w:style w:type="character" w:customStyle="1" w:styleId="highlight">
    <w:name w:val="highlight"/>
  </w:style>
  <w:style w:type="paragraph" w:styleId="Title">
    <w:name w:val="Title"/>
    <w:basedOn w:val="Normal"/>
    <w:link w:val="TitleChar"/>
    <w:qFormat/>
    <w:pPr>
      <w:spacing w:before="120" w:after="120" w:line="240" w:lineRule="auto"/>
      <w:jc w:val="center"/>
    </w:pPr>
    <w:rPr>
      <w:rFonts w:ascii="Trebuchet MS" w:eastAsia="Times New Roman" w:hAnsi="Trebuchet MS"/>
      <w:b/>
      <w:bCs/>
      <w:sz w:val="20"/>
      <w:szCs w:val="24"/>
      <w:lang w:val="ro-RO"/>
    </w:rPr>
  </w:style>
  <w:style w:type="character" w:customStyle="1" w:styleId="TitleChar">
    <w:name w:val="Title Char"/>
    <w:basedOn w:val="DefaultParagraphFont"/>
    <w:link w:val="Title"/>
    <w:rPr>
      <w:rFonts w:ascii="Trebuchet MS" w:eastAsia="Times New Roman" w:hAnsi="Trebuchet MS" w:cs="Times New Roman"/>
      <w:b/>
      <w:bCs/>
      <w:sz w:val="20"/>
      <w:szCs w:val="24"/>
    </w:rPr>
  </w:style>
  <w:style w:type="paragraph" w:styleId="List">
    <w:name w:val="List"/>
    <w:basedOn w:val="Normal"/>
    <w:pPr>
      <w:tabs>
        <w:tab w:val="num" w:pos="360"/>
        <w:tab w:val="num" w:pos="3163"/>
      </w:tabs>
      <w:spacing w:before="120" w:after="120" w:line="240" w:lineRule="auto"/>
      <w:ind w:left="360" w:hanging="360"/>
    </w:pPr>
    <w:rPr>
      <w:rFonts w:ascii="Times New Roman" w:eastAsia="Times New Roman" w:hAnsi="Times New Roman"/>
      <w:snapToGrid w:val="0"/>
      <w:sz w:val="24"/>
      <w:szCs w:val="20"/>
      <w:lang w:val="en-GB"/>
    </w:rPr>
  </w:style>
  <w:style w:type="character" w:customStyle="1" w:styleId="rvts11">
    <w:name w:val="rvts11"/>
    <w:basedOn w:val="DefaultParagraphFont"/>
  </w:style>
  <w:style w:type="character" w:customStyle="1" w:styleId="rvts6">
    <w:name w:val="rvts6"/>
    <w:basedOn w:val="DefaultParagraphFont"/>
  </w:style>
  <w:style w:type="paragraph" w:customStyle="1" w:styleId="rvps1">
    <w:name w:val="rvps1"/>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rvts10">
    <w:name w:val="rvts10"/>
    <w:basedOn w:val="DefaultParagraphFont"/>
  </w:style>
  <w:style w:type="character" w:customStyle="1" w:styleId="rvts16">
    <w:name w:val="rvts16"/>
    <w:basedOn w:val="DefaultParagraphFont"/>
  </w:style>
  <w:style w:type="paragraph" w:customStyle="1" w:styleId="bulletX">
    <w:name w:val="bulletX"/>
    <w:basedOn w:val="Normal"/>
    <w:pPr>
      <w:tabs>
        <w:tab w:val="num" w:pos="720"/>
      </w:tabs>
      <w:autoSpaceDE w:val="0"/>
      <w:autoSpaceDN w:val="0"/>
      <w:adjustRightInd w:val="0"/>
      <w:spacing w:before="120" w:after="120" w:line="240" w:lineRule="auto"/>
      <w:ind w:left="720" w:hanging="360"/>
    </w:pPr>
    <w:rPr>
      <w:rFonts w:ascii="Arial,Bold" w:eastAsia="Times New Roman" w:hAnsi="Arial,Bold" w:cs="Arial"/>
      <w:sz w:val="20"/>
      <w:lang w:val="ro-RO"/>
    </w:rPr>
  </w:style>
  <w:style w:type="character" w:customStyle="1" w:styleId="a">
    <w:name w:val="_"/>
    <w:basedOn w:val="DefaultParagraphFont"/>
  </w:style>
  <w:style w:type="paragraph" w:customStyle="1" w:styleId="Tableline">
    <w:name w:val="Table line"/>
    <w:basedOn w:val="Normal"/>
    <w:pPr>
      <w:overflowPunct w:val="0"/>
      <w:autoSpaceDE w:val="0"/>
      <w:autoSpaceDN w:val="0"/>
      <w:adjustRightInd w:val="0"/>
      <w:spacing w:before="60" w:after="60" w:line="240" w:lineRule="auto"/>
      <w:textAlignment w:val="baseline"/>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regional_policy/sources/docgener/informat/2014/thematic_guidance_fiche_segregation_e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nduri-structurale.ro/detaliu.aspx?t=Stiri&amp;eID=17937" TargetMode="External"/><Relationship Id="rId17" Type="http://schemas.openxmlformats.org/officeDocument/2006/relationships/hyperlink" Target="http://www.inforegio.ro" TargetMode="External"/><Relationship Id="rId2" Type="http://schemas.openxmlformats.org/officeDocument/2006/relationships/numbering" Target="numbering.xml"/><Relationship Id="rId16" Type="http://schemas.openxmlformats.org/officeDocument/2006/relationships/hyperlink" Target="http://www.inforegio.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albotosani.ro"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drl.ro/_documente/constructii/legislatie/legea_3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albotosani@gmail.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B1C9-B2E5-4287-9BEB-7A89379E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Pages>
  <Words>31992</Words>
  <Characters>185558</Characters>
  <Application>Microsoft Office Word</Application>
  <DocSecurity>0</DocSecurity>
  <Lines>1546</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cp:lastModifiedBy>
  <cp:revision>143</cp:revision>
  <cp:lastPrinted>2020-09-02T09:05:00Z</cp:lastPrinted>
  <dcterms:created xsi:type="dcterms:W3CDTF">2020-03-02T15:19:00Z</dcterms:created>
  <dcterms:modified xsi:type="dcterms:W3CDTF">2020-09-16T04:35:00Z</dcterms:modified>
</cp:coreProperties>
</file>